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pStyle w:val="Title"/>
        <w:jc w:val="center"/>
      </w:pPr>
      <w:r>
        <w:rPr>
          <w:rFonts w:ascii="Microsoft YaHei" w:hAnsi="Microsoft YaHei" w:eastAsia="Microsoft YaHei"/>
          <w:b w:val="0"/>
          <w:color w:val="000000"/>
          <w:sz w:val="18"/>
        </w:rPr>
        <w:t>客户行为数据采集平台完整项目实施方案</w:t>
      </w:r>
    </w:p>
    <w:p>
      <w:pPr>
        <w:spacing w:after="480"/>
        <w:jc w:val="center"/>
      </w:pPr>
      <w:r>
        <w:rPr>
          <w:rFonts w:ascii="Microsoft YaHei" w:hAnsi="Microsoft YaHei" w:eastAsia="Microsoft YaHei"/>
          <w:b w:val="0"/>
          <w:color w:val="666666"/>
          <w:sz w:val="26"/>
        </w:rPr>
        <w:t>独立后台与网站 JS SDK 建设基线</w:t>
      </w:r>
    </w:p>
    <w:p>
      <w:pPr>
        <w:spacing w:after="100"/>
        <w:jc w:val="center"/>
      </w:pPr>
      <w:r>
        <w:rPr>
          <w:rFonts w:ascii="Microsoft YaHei" w:hAnsi="Microsoft YaHei" w:eastAsia="Microsoft YaHei"/>
          <w:b w:val="0"/>
          <w:color w:val="000000"/>
          <w:sz w:val="20"/>
        </w:rPr>
        <w:t>文档版本 1.0</w:t>
      </w:r>
    </w:p>
    <w:p>
      <w:pPr>
        <w:spacing w:after="100"/>
        <w:jc w:val="center"/>
      </w:pPr>
      <w:r>
        <w:rPr>
          <w:rFonts w:ascii="Microsoft YaHei" w:hAnsi="Microsoft YaHei" w:eastAsia="Microsoft YaHei"/>
          <w:b w:val="0"/>
          <w:color w:val="000000"/>
          <w:sz w:val="20"/>
        </w:rPr>
        <w:t>编制日期 2026 年 9 月 14 日</w:t>
      </w:r>
    </w:p>
    <w:p>
      <w:pPr>
        <w:spacing w:after="100"/>
        <w:jc w:val="center"/>
      </w:pPr>
      <w:r>
        <w:rPr>
          <w:rFonts w:ascii="Microsoft YaHei" w:hAnsi="Microsoft YaHei" w:eastAsia="Microsoft YaHei"/>
          <w:b w:val="0"/>
          <w:color w:val="666666"/>
          <w:sz w:val="18"/>
        </w:rPr>
        <w:t>适用对象 产品负责人 技术负责人 研发 测试 运维 安全与合规负责人</w:t>
      </w:r>
    </w:p>
    <w:p/>
    <w:p>
      <w:pPr>
        <w:spacing w:after="100"/>
        <w:jc w:val="center"/>
      </w:pPr>
      <w:r>
        <w:rPr>
          <w:rFonts w:ascii="Microsoft YaHei" w:hAnsi="Microsoft YaHei" w:eastAsia="Microsoft YaHei"/>
          <w:b w:val="0"/>
          <w:color w:val="000000"/>
          <w:sz w:val="20"/>
        </w:rPr>
        <w:t>本方案把需求范围 技术设计 数据规范 交付计划与验收标准合并为同一实施基线。建议先用一个真实网站完成闭环试点，再按容量测试结果扩展到多站点和分析型存储。</w:t>
      </w: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文档使用说明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本方案用于批准范围、组织研发、控制风险和验收交付。首期按独立后台、网站直接接入 JS SDK、单组织多站点能力设计。文档中的容量、保留期限和服务指标是计划值，必须在启动会上确认，并在压测和合规评审后固化为生产基线。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实施结论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70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决策主题</w:t>
            </w:r>
          </w:p>
        </w:tc>
        <w:tc>
          <w:tcPr>
            <w:tcW w:type="dxa" w:w="300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建议基线</w:t>
            </w:r>
          </w:p>
        </w:tc>
        <w:tc>
          <w:tcPr>
            <w:tcW w:type="dxa" w:w="470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采用原因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接入方式</w:t>
            </w:r>
          </w:p>
        </w:tc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网站直接加载异步 JS SDK</w:t>
            </w:r>
          </w:p>
        </w:tc>
        <w:tc>
          <w:tcPr>
            <w:tcW w:type="dxa" w:w="47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与 WordPress 解耦，可支持任意网站和前端框架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后台形态</w:t>
            </w:r>
          </w:p>
        </w:tc>
        <w:tc>
          <w:tcPr>
            <w:tcW w:type="dxa" w:w="300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独立 Web 管理后台和独立 API</w:t>
            </w:r>
          </w:p>
        </w:tc>
        <w:tc>
          <w:tcPr>
            <w:tcW w:type="dxa" w:w="470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数据、权限、部署和扩展不依赖客户网站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首期架构</w:t>
            </w:r>
          </w:p>
        </w:tc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模块化单体加异步任务</w:t>
            </w:r>
          </w:p>
        </w:tc>
        <w:tc>
          <w:tcPr>
            <w:tcW w:type="dxa" w:w="47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控制研发复杂度，同时保留后续拆分服务的边界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主数据存储</w:t>
            </w:r>
          </w:p>
        </w:tc>
        <w:tc>
          <w:tcPr>
            <w:tcW w:type="dxa" w:w="300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PostgreSQL 分区表加 Redis 加对象存储</w:t>
            </w:r>
          </w:p>
        </w:tc>
        <w:tc>
          <w:tcPr>
            <w:tcW w:type="dxa" w:w="470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适合首期事件量、身份关系和管理查询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身份策略</w:t>
            </w:r>
          </w:p>
        </w:tc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匿名身份与确定性登录身份合并</w:t>
            </w:r>
          </w:p>
        </w:tc>
        <w:tc>
          <w:tcPr>
            <w:tcW w:type="dxa" w:w="47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允许跨天连续分析，避免默认使用侵入式浏览器指纹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发布策略</w:t>
            </w:r>
          </w:p>
        </w:tc>
        <w:tc>
          <w:tcPr>
            <w:tcW w:type="dxa" w:w="300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单站点试点后灰度扩展</w:t>
            </w:r>
          </w:p>
        </w:tc>
        <w:tc>
          <w:tcPr>
            <w:tcW w:type="dxa" w:w="470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先验证数据准确性、性能影响和同意机制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首期成功标准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完成访客、会话、页面、互动、表单、转化和客户身份的端到端数据闭环。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任一客户详情页能按时间展示跨天访问、页面路径、有效停留和关键操作。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SDK 异常不阻断网站主流程；禁用、撤回同意和版本回滚可在分钟级生效。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多租户隔离、密钥管理、审计、保留和删除流程通过专项测试。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试点站点的数据完整率、去重率、时延和页面性能达到约定验收值。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目录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791"/>
        <w:gridCol w:w="4791"/>
      </w:tblGrid>
      <w:tr>
        <w:trPr>
          <w:tblHeader w:val="true"/>
        </w:trPr>
        <w:tc>
          <w:tcPr>
            <w:tcW w:type="dxa" w:w="5840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第一部分</w:t>
            </w:r>
          </w:p>
        </w:tc>
        <w:tc>
          <w:tcPr>
            <w:tcW w:type="dxa" w:w="5840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第二部分</w:t>
            </w:r>
          </w:p>
        </w:tc>
      </w:tr>
      <w:tr>
        <w:tc>
          <w:tcPr>
            <w:tcW w:type="dxa" w:w="5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一 项目目标与范围</w:t>
            </w:r>
          </w:p>
        </w:tc>
        <w:tc>
          <w:tcPr>
            <w:tcW w:type="dxa" w:w="5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十一 安全设计</w:t>
            </w:r>
          </w:p>
        </w:tc>
      </w:tr>
      <w:tr>
        <w:tc>
          <w:tcPr>
            <w:tcW w:type="dxa" w:w="584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二 需求与产品设计</w:t>
            </w:r>
          </w:p>
        </w:tc>
        <w:tc>
          <w:tcPr>
            <w:tcW w:type="dxa" w:w="584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十二 隐私与合规实施</w:t>
            </w:r>
          </w:p>
        </w:tc>
      </w:tr>
      <w:tr>
        <w:tc>
          <w:tcPr>
            <w:tcW w:type="dxa" w:w="5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三 数据采集与事件规范</w:t>
            </w:r>
          </w:p>
        </w:tc>
        <w:tc>
          <w:tcPr>
            <w:tcW w:type="dxa" w:w="5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十三 基础设施与发布</w:t>
            </w:r>
          </w:p>
        </w:tc>
      </w:tr>
      <w:tr>
        <w:tc>
          <w:tcPr>
            <w:tcW w:type="dxa" w:w="584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四 JS SDK 技术设计</w:t>
            </w:r>
          </w:p>
        </w:tc>
        <w:tc>
          <w:tcPr>
            <w:tcW w:type="dxa" w:w="584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十四 容量与成本规划</w:t>
            </w:r>
          </w:p>
        </w:tc>
      </w:tr>
      <w:tr>
        <w:tc>
          <w:tcPr>
            <w:tcW w:type="dxa" w:w="5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五 身份识别与客户合并</w:t>
            </w:r>
          </w:p>
        </w:tc>
        <w:tc>
          <w:tcPr>
            <w:tcW w:type="dxa" w:w="5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十五 项目组织与实施计划</w:t>
            </w:r>
          </w:p>
        </w:tc>
      </w:tr>
      <w:tr>
        <w:tc>
          <w:tcPr>
            <w:tcW w:type="dxa" w:w="584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六 平台架构与数据处理</w:t>
            </w:r>
          </w:p>
        </w:tc>
        <w:tc>
          <w:tcPr>
            <w:tcW w:type="dxa" w:w="584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十六 测试方案</w:t>
            </w:r>
          </w:p>
        </w:tc>
      </w:tr>
      <w:tr>
        <w:tc>
          <w:tcPr>
            <w:tcW w:type="dxa" w:w="5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七 数据库设计</w:t>
            </w:r>
          </w:p>
        </w:tc>
        <w:tc>
          <w:tcPr>
            <w:tcW w:type="dxa" w:w="5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十七 上线与运营</w:t>
            </w:r>
          </w:p>
        </w:tc>
      </w:tr>
      <w:tr>
        <w:tc>
          <w:tcPr>
            <w:tcW w:type="dxa" w:w="584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八 API 与集成规范</w:t>
            </w:r>
          </w:p>
        </w:tc>
        <w:tc>
          <w:tcPr>
            <w:tcW w:type="dxa" w:w="584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十八 验收与交付</w:t>
            </w:r>
          </w:p>
        </w:tc>
      </w:tr>
      <w:tr>
        <w:tc>
          <w:tcPr>
            <w:tcW w:type="dxa" w:w="5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九 独立后台页面设计</w:t>
            </w:r>
          </w:p>
        </w:tc>
        <w:tc>
          <w:tcPr>
            <w:tcW w:type="dxa" w:w="5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十九 风险与决策清单</w:t>
            </w:r>
          </w:p>
        </w:tc>
      </w:tr>
      <w:tr>
        <w:tc>
          <w:tcPr>
            <w:tcW w:type="dxa" w:w="584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十 指标与分析口径</w:t>
            </w:r>
          </w:p>
        </w:tc>
        <w:tc>
          <w:tcPr>
            <w:tcW w:type="dxa" w:w="584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附录 事件字典 配置和检查表</w:t>
            </w:r>
          </w:p>
        </w:tc>
      </w:tr>
    </w:tbl>
    <w:p>
      <w:pPr>
        <w:spacing w:after="20"/>
      </w:pP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一 项目目标与范围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项目目标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平台需要把网站中的匿名访问逐步转化为可管理的客户行为档案。系统持续记录每个浏览器访客何时到达、从哪里到达、看过哪些页面、执行过哪些关键操作、有效停留多久，以及在后续日期是否再次访问。当用户提交表单、登录或完成交易后，系统把经过验证的业务身份与既有匿名轨迹合并，并在独立后台中提供查询、筛选、分析、导出和删除能力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业务目标与衡量方式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81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目标</w:t>
            </w:r>
          </w:p>
        </w:tc>
        <w:tc>
          <w:tcPr>
            <w:tcW w:type="dxa" w:w="238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衡量指标</w:t>
            </w:r>
          </w:p>
        </w:tc>
        <w:tc>
          <w:tcPr>
            <w:tcW w:type="dxa" w:w="238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首期目标</w:t>
            </w:r>
          </w:p>
        </w:tc>
        <w:tc>
          <w:tcPr>
            <w:tcW w:type="dxa" w:w="283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验证方式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建立连续客户视图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可关联访客占比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已登录或留资客户可确定性关联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抽样核对业务系统与时间线</w:t>
            </w:r>
          </w:p>
        </w:tc>
      </w:tr>
      <w:tr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还原关键行为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核心事件完整率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试点期不低于 99%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客户端日志与接收端计数对账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支持运营检索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常用查询响应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P95 不高于 2 秒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典型筛选集压测</w:t>
            </w:r>
          </w:p>
        </w:tc>
      </w:tr>
      <w:tr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控制网站影响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 传输体积与主线程占用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gzip 不高于 40 KB 且不阻塞首屏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Lighthouse 与浏览器性能测试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保障合规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同意撤回和删除闭环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测试用例全部通过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隐私流程演练与审计记录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实施范围</w:t>
      </w:r>
    </w:p>
    <w:p>
      <w:pPr>
        <w:pStyle w:val="Heading3"/>
      </w:pPr>
      <w:r>
        <w:rPr>
          <w:rFonts w:ascii="Microsoft YaHei" w:hAnsi="Microsoft YaHei" w:eastAsia="Microsoft YaHei"/>
          <w:b w:val="0"/>
          <w:color w:val="000000"/>
          <w:sz w:val="18"/>
        </w:rPr>
        <w:t>首期包含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多组织、多站点、成员和角色权限管理。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JS SDK 自动采集页面浏览、会话、有效停留、来源、基础设备环境和经配置的互动事件。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显式事件 API、identify 身份 API、服务端可信事件 API、批量接收 API。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访客、客户、会话、事件时间线、筛选标签、备注、导出和数据质量后台。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同意状态、字段屏蔽、URL 清洗、数据保留、访问导出和删除工作流。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开发、测试、预发布、生产环境，以及监控、备份、回滚和操作手册。</w:t>
      </w:r>
    </w:p>
    <w:p>
      <w:pPr>
        <w:pStyle w:val="Heading3"/>
      </w:pPr>
      <w:r>
        <w:rPr>
          <w:rFonts w:ascii="Microsoft YaHei" w:hAnsi="Microsoft YaHei" w:eastAsia="Microsoft YaHei"/>
          <w:b w:val="0"/>
          <w:color w:val="000000"/>
          <w:sz w:val="18"/>
        </w:rPr>
        <w:t>首期不包含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不采集密码、验证码、银行卡完整信息、身份证完整号码、健康信息等高敏感内容。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不做键盘逐键记录、剪贴板读取、摄像头或麦克风调用，也不默认启用浏览器指纹。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不默认录制会话回放。若以后建设，需要独立立项、显著告知、输入遮罩和单独授权。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不以客户端事件作为付款、订单金额、退款或权限变更的唯一事实来源。此类事件必须由服务端签名上报。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首期不建设复杂营销自动化、广告人群回传、机器学习评分和全量数据仓库。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约束与假设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70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类别</w:t>
            </w:r>
          </w:p>
        </w:tc>
        <w:tc>
          <w:tcPr>
            <w:tcW w:type="dxa" w:w="396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当前假设</w:t>
            </w:r>
          </w:p>
        </w:tc>
        <w:tc>
          <w:tcPr>
            <w:tcW w:type="dxa" w:w="374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启动会需要确认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业务</w:t>
            </w:r>
          </w:p>
        </w:tc>
        <w:tc>
          <w:tcPr>
            <w:tcW w:type="dxa" w:w="396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一个自有网站作为试点，后续支持多站点</w:t>
            </w:r>
          </w:p>
        </w:tc>
        <w:tc>
          <w:tcPr>
            <w:tcW w:type="dxa" w:w="374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试点域名、日访问量、关键转化清单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部署</w:t>
            </w:r>
          </w:p>
        </w:tc>
        <w:tc>
          <w:tcPr>
            <w:tcW w:type="dxa" w:w="396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中国大陆或业务指定区域的云环境</w:t>
            </w:r>
          </w:p>
        </w:tc>
        <w:tc>
          <w:tcPr>
            <w:tcW w:type="dxa" w:w="374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云厂商、地域、跨境数据安排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身份</w:t>
            </w:r>
          </w:p>
        </w:tc>
        <w:tc>
          <w:tcPr>
            <w:tcW w:type="dxa" w:w="396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匿名 Cookie 或本地标识加登录身份</w:t>
            </w:r>
          </w:p>
        </w:tc>
        <w:tc>
          <w:tcPr>
            <w:tcW w:type="dxa" w:w="374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登录体系、CRM 主键、共享设备策略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合规</w:t>
            </w:r>
          </w:p>
        </w:tc>
        <w:tc>
          <w:tcPr>
            <w:tcW w:type="dxa" w:w="396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按数据最小化、分级同意和可删除原则实施</w:t>
            </w:r>
          </w:p>
        </w:tc>
        <w:tc>
          <w:tcPr>
            <w:tcW w:type="dxa" w:w="374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适用法域、隐私文本、保存期限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团队</w:t>
            </w:r>
          </w:p>
        </w:tc>
        <w:tc>
          <w:tcPr>
            <w:tcW w:type="dxa" w:w="396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5 人左右核心交付团队，16 周计划</w:t>
            </w:r>
          </w:p>
        </w:tc>
        <w:tc>
          <w:tcPr>
            <w:tcW w:type="dxa" w:w="374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实际人员、并行项目和审批周期</w:t>
            </w:r>
          </w:p>
        </w:tc>
      </w:tr>
    </w:tbl>
    <w:p>
      <w:pPr>
        <w:spacing w:after="20"/>
      </w:pP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二 需求与产品设计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用户角色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70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角色</w:t>
            </w:r>
          </w:p>
        </w:tc>
        <w:tc>
          <w:tcPr>
            <w:tcW w:type="dxa" w:w="413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主要任务</w:t>
            </w:r>
          </w:p>
        </w:tc>
        <w:tc>
          <w:tcPr>
            <w:tcW w:type="dxa" w:w="357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默认权限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组织管理员</w:t>
            </w:r>
          </w:p>
        </w:tc>
        <w:tc>
          <w:tcPr>
            <w:tcW w:type="dxa" w:w="413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管理组织、站点、成员、密钥和保留策略</w:t>
            </w:r>
          </w:p>
        </w:tc>
        <w:tc>
          <w:tcPr>
            <w:tcW w:type="dxa" w:w="35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组织内全部管理权限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产品与运营</w:t>
            </w:r>
          </w:p>
        </w:tc>
        <w:tc>
          <w:tcPr>
            <w:tcW w:type="dxa" w:w="413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查看客户轨迹、创建筛选、标签、备注和导出</w:t>
            </w:r>
          </w:p>
        </w:tc>
        <w:tc>
          <w:tcPr>
            <w:tcW w:type="dxa" w:w="35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读写分析数据，不管理密钥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分析人员</w:t>
            </w:r>
          </w:p>
        </w:tc>
        <w:tc>
          <w:tcPr>
            <w:tcW w:type="dxa" w:w="413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查询事件、漏斗、来源和质量报表</w:t>
            </w:r>
          </w:p>
        </w:tc>
        <w:tc>
          <w:tcPr>
            <w:tcW w:type="dxa" w:w="35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只读分析与受控导出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开发人员</w:t>
            </w:r>
          </w:p>
        </w:tc>
        <w:tc>
          <w:tcPr>
            <w:tcW w:type="dxa" w:w="413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接入 SDK、管理事件定义、查看调试流</w:t>
            </w:r>
          </w:p>
        </w:tc>
        <w:tc>
          <w:tcPr>
            <w:tcW w:type="dxa" w:w="35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站点配置和技术诊断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合规人员</w:t>
            </w:r>
          </w:p>
        </w:tc>
        <w:tc>
          <w:tcPr>
            <w:tcW w:type="dxa" w:w="413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处理访问、导出、删除和保留请求</w:t>
            </w:r>
          </w:p>
        </w:tc>
        <w:tc>
          <w:tcPr>
            <w:tcW w:type="dxa" w:w="35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隐私工作台与审计只读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审计人员</w:t>
            </w:r>
          </w:p>
        </w:tc>
        <w:tc>
          <w:tcPr>
            <w:tcW w:type="dxa" w:w="413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审查登录、导出、配置和删除记录</w:t>
            </w:r>
          </w:p>
        </w:tc>
        <w:tc>
          <w:tcPr>
            <w:tcW w:type="dxa" w:w="35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只读审计权限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功能模块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530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模块</w:t>
            </w:r>
          </w:p>
        </w:tc>
        <w:tc>
          <w:tcPr>
            <w:tcW w:type="dxa" w:w="453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必须能力</w:t>
            </w:r>
          </w:p>
        </w:tc>
        <w:tc>
          <w:tcPr>
            <w:tcW w:type="dxa" w:w="113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优先级</w:t>
            </w:r>
          </w:p>
        </w:tc>
        <w:tc>
          <w:tcPr>
            <w:tcW w:type="dxa" w:w="221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验收依据</w:t>
            </w:r>
          </w:p>
        </w:tc>
      </w:tr>
      <w:tr>
        <w:tc>
          <w:tcPr>
            <w:tcW w:type="dxa" w:w="153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组织与站点</w:t>
            </w:r>
          </w:p>
        </w:tc>
        <w:tc>
          <w:tcPr>
            <w:tcW w:type="dxa" w:w="45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创建组织、站点、环境、域名白名单和时区</w:t>
            </w:r>
          </w:p>
        </w:tc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配置保存并正确隔离</w:t>
            </w:r>
          </w:p>
        </w:tc>
      </w:tr>
      <w:tr>
        <w:tc>
          <w:tcPr>
            <w:tcW w:type="dxa" w:w="153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接入中心</w:t>
            </w:r>
          </w:p>
        </w:tc>
        <w:tc>
          <w:tcPr>
            <w:tcW w:type="dxa" w:w="453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生成代码、调试模式、事件验证和安装状态</w:t>
            </w:r>
          </w:p>
        </w:tc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221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10 分钟内完成试点接入</w:t>
            </w:r>
          </w:p>
        </w:tc>
      </w:tr>
      <w:tr>
        <w:tc>
          <w:tcPr>
            <w:tcW w:type="dxa" w:w="153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访客与客户</w:t>
            </w:r>
          </w:p>
        </w:tc>
        <w:tc>
          <w:tcPr>
            <w:tcW w:type="dxa" w:w="45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列表、画像、身份、标签、备注和合并记录</w:t>
            </w:r>
          </w:p>
        </w:tc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可检索并展示完整档案</w:t>
            </w:r>
          </w:p>
        </w:tc>
      </w:tr>
      <w:tr>
        <w:tc>
          <w:tcPr>
            <w:tcW w:type="dxa" w:w="153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行为时间线</w:t>
            </w:r>
          </w:p>
        </w:tc>
        <w:tc>
          <w:tcPr>
            <w:tcW w:type="dxa" w:w="453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跨天会话、页面、互动、来源、停留和转化</w:t>
            </w:r>
          </w:p>
        </w:tc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221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抽样轨迹与浏览器日志一致</w:t>
            </w:r>
          </w:p>
        </w:tc>
      </w:tr>
      <w:tr>
        <w:tc>
          <w:tcPr>
            <w:tcW w:type="dxa" w:w="153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事件管理</w:t>
            </w:r>
          </w:p>
        </w:tc>
        <w:tc>
          <w:tcPr>
            <w:tcW w:type="dxa" w:w="45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事件目录、属性、版本、状态和数据质量</w:t>
            </w:r>
          </w:p>
        </w:tc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未登记事件可被识别和治理</w:t>
            </w:r>
          </w:p>
        </w:tc>
      </w:tr>
      <w:tr>
        <w:tc>
          <w:tcPr>
            <w:tcW w:type="dxa" w:w="153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分析看板</w:t>
            </w:r>
          </w:p>
        </w:tc>
        <w:tc>
          <w:tcPr>
            <w:tcW w:type="dxa" w:w="453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访问趋势、回访、页面、来源和转化</w:t>
            </w:r>
          </w:p>
        </w:tc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221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指标口径与明细可对账</w:t>
            </w:r>
          </w:p>
        </w:tc>
      </w:tr>
      <w:tr>
        <w:tc>
          <w:tcPr>
            <w:tcW w:type="dxa" w:w="153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导出与集成</w:t>
            </w:r>
          </w:p>
        </w:tc>
        <w:tc>
          <w:tcPr>
            <w:tcW w:type="dxa" w:w="45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CSV 导出、Webhooks、服务端 API</w:t>
            </w:r>
          </w:p>
        </w:tc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权限、限流和审计生效</w:t>
            </w:r>
          </w:p>
        </w:tc>
      </w:tr>
      <w:tr>
        <w:tc>
          <w:tcPr>
            <w:tcW w:type="dxa" w:w="153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隐私中心</w:t>
            </w:r>
          </w:p>
        </w:tc>
        <w:tc>
          <w:tcPr>
            <w:tcW w:type="dxa" w:w="453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同意记录、访问导出、删除、保留执行</w:t>
            </w:r>
          </w:p>
        </w:tc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221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全流程演练通过</w:t>
            </w:r>
          </w:p>
        </w:tc>
      </w:tr>
      <w:tr>
        <w:tc>
          <w:tcPr>
            <w:tcW w:type="dxa" w:w="153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系统管理</w:t>
            </w:r>
          </w:p>
        </w:tc>
        <w:tc>
          <w:tcPr>
            <w:tcW w:type="dxa" w:w="45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成员、角色、密钥、审计、告警和用量</w:t>
            </w:r>
          </w:p>
        </w:tc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221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越权测试全部拒绝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核心用户流程</w:t>
      </w:r>
    </w:p>
    <w:p>
      <w:pPr>
        <w:pStyle w:val="Heading3"/>
      </w:pPr>
      <w:r>
        <w:rPr>
          <w:rFonts w:ascii="Microsoft YaHei" w:hAnsi="Microsoft YaHei" w:eastAsia="Microsoft YaHei"/>
          <w:b w:val="0"/>
          <w:color w:val="000000"/>
          <w:sz w:val="18"/>
        </w:rPr>
        <w:t>匿名访问到客户档案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首次访问时，SDK 根据同意模式创建匿名 visitor_id，并创建 session_id。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SDK 发送页面浏览、来源和环境事件；有效停留由可见状态和活动信号计算。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再次访问时复用 visitor_id，创建新会话并追加到同一匿名档案。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用户登录或提交允许处理的联系方式后，网站调用 identify。服务端验证签名后合并身份。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后台客户详情页显示首次访问、最近访问、会话列表、完整事件时间线和身份来源。</w:t>
      </w:r>
    </w:p>
    <w:p>
      <w:pPr>
        <w:pStyle w:val="Heading3"/>
      </w:pPr>
      <w:r>
        <w:rPr>
          <w:rFonts w:ascii="Microsoft YaHei" w:hAnsi="Microsoft YaHei" w:eastAsia="Microsoft YaHei"/>
          <w:b w:val="0"/>
          <w:color w:val="000000"/>
          <w:sz w:val="18"/>
        </w:rPr>
        <w:t>数据访问与删除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合规人员按经过验证的邮箱、客户号或外部身份检索数据主体。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系统列出相关身份、数据类别、站点、保留期限和可能的合并关系。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双人复核后生成访问导出，或创建删除任务；任务具有审批、执行、校验和审计状态。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删除覆盖主库、缓存、索引和可定位的对象文件；备份按到期策略自然淘汰并限制恢复用途。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非功能需求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70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类别</w:t>
            </w:r>
          </w:p>
        </w:tc>
        <w:tc>
          <w:tcPr>
            <w:tcW w:type="dxa" w:w="521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基线要求</w:t>
            </w:r>
          </w:p>
        </w:tc>
        <w:tc>
          <w:tcPr>
            <w:tcW w:type="dxa" w:w="249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验证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可用性</w:t>
            </w:r>
          </w:p>
        </w:tc>
        <w:tc>
          <w:tcPr>
            <w:tcW w:type="dxa" w:w="52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生产采集 API 月可用性目标 99.9%</w:t>
            </w:r>
          </w:p>
        </w:tc>
        <w:tc>
          <w:tcPr>
            <w:tcW w:type="dxa" w:w="249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合成探测和月报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性能</w:t>
            </w:r>
          </w:p>
        </w:tc>
        <w:tc>
          <w:tcPr>
            <w:tcW w:type="dxa" w:w="521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约定负载下采集 API P95 不高于 200 ms</w:t>
            </w:r>
          </w:p>
        </w:tc>
        <w:tc>
          <w:tcPr>
            <w:tcW w:type="dxa" w:w="249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容量压测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时效</w:t>
            </w:r>
          </w:p>
        </w:tc>
        <w:tc>
          <w:tcPr>
            <w:tcW w:type="dxa" w:w="52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95% 事件在 60 秒内可查询</w:t>
            </w:r>
          </w:p>
        </w:tc>
        <w:tc>
          <w:tcPr>
            <w:tcW w:type="dxa" w:w="249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端到端延迟监控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可靠性</w:t>
            </w:r>
          </w:p>
        </w:tc>
        <w:tc>
          <w:tcPr>
            <w:tcW w:type="dxa" w:w="521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event_id 重复提交不产生重复事实</w:t>
            </w:r>
          </w:p>
        </w:tc>
        <w:tc>
          <w:tcPr>
            <w:tcW w:type="dxa" w:w="249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重试和并发用例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隔离</w:t>
            </w:r>
          </w:p>
        </w:tc>
        <w:tc>
          <w:tcPr>
            <w:tcW w:type="dxa" w:w="52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任何跨组织直接对象访问均被拒绝</w:t>
            </w:r>
          </w:p>
        </w:tc>
        <w:tc>
          <w:tcPr>
            <w:tcW w:type="dxa" w:w="249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自动化越权测试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兼容性</w:t>
            </w:r>
          </w:p>
        </w:tc>
        <w:tc>
          <w:tcPr>
            <w:tcW w:type="dxa" w:w="521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支持近两年主流 Chrome Edge Safari Firefox</w:t>
            </w:r>
          </w:p>
        </w:tc>
        <w:tc>
          <w:tcPr>
            <w:tcW w:type="dxa" w:w="249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浏览器矩阵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可维护性</w:t>
            </w:r>
          </w:p>
        </w:tc>
        <w:tc>
          <w:tcPr>
            <w:tcW w:type="dxa" w:w="52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 和 API 向后兼容，变更有版本和迁移说明</w:t>
            </w:r>
          </w:p>
        </w:tc>
        <w:tc>
          <w:tcPr>
            <w:tcW w:type="dxa" w:w="249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发布检查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可观测性</w:t>
            </w:r>
          </w:p>
        </w:tc>
        <w:tc>
          <w:tcPr>
            <w:tcW w:type="dxa" w:w="521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请求、队列、写入、查询、错误和丢弃均有指标</w:t>
            </w:r>
          </w:p>
        </w:tc>
        <w:tc>
          <w:tcPr>
            <w:tcW w:type="dxa" w:w="249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监控验收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需求优先级和追踪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每项需求使用唯一编号并连接到事件定义、接口、页面、代码提交、测试用例和验收记录。P0 是试点闭环或安全合规所必需的能力；P1 在首期完成但可以在不破坏 P0 闭环时延后；P2 进入后续版本。任何 P0 状态改变都需要产品负责人和技术负责人共同确认。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81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状态</w:t>
            </w:r>
          </w:p>
        </w:tc>
        <w:tc>
          <w:tcPr>
            <w:tcW w:type="dxa" w:w="504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进入条件</w:t>
            </w:r>
          </w:p>
        </w:tc>
        <w:tc>
          <w:tcPr>
            <w:tcW w:type="dxa" w:w="481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退出条件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待确认</w:t>
            </w:r>
          </w:p>
        </w:tc>
        <w:tc>
          <w:tcPr>
            <w:tcW w:type="dxa" w:w="504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业务目标已提出但字段或规则未定</w:t>
            </w:r>
          </w:p>
        </w:tc>
        <w:tc>
          <w:tcPr>
            <w:tcW w:type="dxa" w:w="481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负责人和验收方式明确</w:t>
            </w:r>
          </w:p>
        </w:tc>
      </w:tr>
      <w:tr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已批准</w:t>
            </w:r>
          </w:p>
        </w:tc>
        <w:tc>
          <w:tcPr>
            <w:tcW w:type="dxa" w:w="504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范围 价值 风险和工作量已评估</w:t>
            </w:r>
          </w:p>
        </w:tc>
        <w:tc>
          <w:tcPr>
            <w:tcW w:type="dxa" w:w="481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进入排期并建立测试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实施中</w:t>
            </w:r>
          </w:p>
        </w:tc>
        <w:tc>
          <w:tcPr>
            <w:tcW w:type="dxa" w:w="504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接口和依赖已就绪</w:t>
            </w:r>
          </w:p>
        </w:tc>
        <w:tc>
          <w:tcPr>
            <w:tcW w:type="dxa" w:w="481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代码评审和自动化测试完成</w:t>
            </w:r>
          </w:p>
        </w:tc>
      </w:tr>
      <w:tr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待验收</w:t>
            </w:r>
          </w:p>
        </w:tc>
        <w:tc>
          <w:tcPr>
            <w:tcW w:type="dxa" w:w="504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部署到验收环境</w:t>
            </w:r>
          </w:p>
        </w:tc>
        <w:tc>
          <w:tcPr>
            <w:tcW w:type="dxa" w:w="481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产品 数据 安全或合规按责任签署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已完成</w:t>
            </w:r>
          </w:p>
        </w:tc>
        <w:tc>
          <w:tcPr>
            <w:tcW w:type="dxa" w:w="504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验收证据齐全</w:t>
            </w:r>
          </w:p>
        </w:tc>
        <w:tc>
          <w:tcPr>
            <w:tcW w:type="dxa" w:w="481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交付基线和运行手册已更新</w:t>
            </w:r>
          </w:p>
        </w:tc>
      </w:tr>
    </w:tbl>
    <w:p>
      <w:pPr>
        <w:spacing w:after="20"/>
      </w:pP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三 数据采集与事件规范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采集等级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41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等级</w:t>
            </w:r>
          </w:p>
        </w:tc>
        <w:tc>
          <w:tcPr>
            <w:tcW w:type="dxa" w:w="226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启用条件</w:t>
            </w:r>
          </w:p>
        </w:tc>
        <w:tc>
          <w:tcPr>
            <w:tcW w:type="dxa" w:w="362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允许数据</w:t>
            </w:r>
          </w:p>
        </w:tc>
        <w:tc>
          <w:tcPr>
            <w:tcW w:type="dxa" w:w="209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默认行为</w:t>
            </w:r>
          </w:p>
        </w:tc>
      </w:tr>
      <w:tr>
        <w:tc>
          <w:tcPr>
            <w:tcW w:type="dxa" w:w="141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必要数据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维持安全和用户明确请求所必需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同意状态、反滥用、明确提交结果</w:t>
            </w:r>
          </w:p>
        </w:tc>
        <w:tc>
          <w:tcPr>
            <w:tcW w:type="dxa" w:w="209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仅在合法基础成立时处理</w:t>
            </w:r>
          </w:p>
        </w:tc>
      </w:tr>
      <w:tr>
        <w:tc>
          <w:tcPr>
            <w:tcW w:type="dxa" w:w="141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基础分析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用户同意分析或适用的无 Cookie 模式</w:t>
            </w:r>
          </w:p>
        </w:tc>
        <w:tc>
          <w:tcPr>
            <w:tcW w:type="dxa" w:w="362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页面、会话、来源、粗粒度设备和有效停留</w:t>
            </w:r>
          </w:p>
        </w:tc>
        <w:tc>
          <w:tcPr>
            <w:tcW w:type="dxa" w:w="209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默认隐藏查询参数和输入值</w:t>
            </w:r>
          </w:p>
        </w:tc>
      </w:tr>
      <w:tr>
        <w:tc>
          <w:tcPr>
            <w:tcW w:type="dxa" w:w="141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增强分析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单独开启的分析配置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配置过的点击、滚动、表单状态和转化</w:t>
            </w:r>
          </w:p>
        </w:tc>
        <w:tc>
          <w:tcPr>
            <w:tcW w:type="dxa" w:w="209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按字段白名单采集</w:t>
            </w:r>
          </w:p>
        </w:tc>
      </w:tr>
      <w:tr>
        <w:tc>
          <w:tcPr>
            <w:tcW w:type="dxa" w:w="141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个性化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用户明确同意</w:t>
            </w:r>
          </w:p>
        </w:tc>
        <w:tc>
          <w:tcPr>
            <w:tcW w:type="dxa" w:w="362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客户身份、偏好、跨会话关联</w:t>
            </w:r>
          </w:p>
        </w:tc>
        <w:tc>
          <w:tcPr>
            <w:tcW w:type="dxa" w:w="209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撤回后停止并解除非必要关联</w:t>
            </w:r>
          </w:p>
        </w:tc>
      </w:tr>
    </w:tbl>
    <w:p>
      <w:pPr>
        <w:spacing w:after="20"/>
      </w:pP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采集尽量多不等于无差别采集。平台应优先提高与业务目标有关的数据覆盖，并对字段设置目的、来源、敏感级别、同意依据、保存期限和可见角色。没有明确用途和负责人时，不允许新增采集字段。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公共事件字段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916"/>
        <w:gridCol w:w="1916"/>
        <w:gridCol w:w="1916"/>
        <w:gridCol w:w="1916"/>
        <w:gridCol w:w="1916"/>
      </w:tblGrid>
      <w:tr>
        <w:trPr>
          <w:tblHeader w:val="true"/>
        </w:trPr>
        <w:tc>
          <w:tcPr>
            <w:tcW w:type="dxa" w:w="1530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字段</w:t>
            </w:r>
          </w:p>
        </w:tc>
        <w:tc>
          <w:tcPr>
            <w:tcW w:type="dxa" w:w="124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类型</w:t>
            </w:r>
          </w:p>
        </w:tc>
        <w:tc>
          <w:tcPr>
            <w:tcW w:type="dxa" w:w="90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必填</w:t>
            </w:r>
          </w:p>
        </w:tc>
        <w:tc>
          <w:tcPr>
            <w:tcW w:type="dxa" w:w="323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说明</w:t>
            </w:r>
          </w:p>
        </w:tc>
        <w:tc>
          <w:tcPr>
            <w:tcW w:type="dxa" w:w="226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示例</w:t>
            </w:r>
          </w:p>
        </w:tc>
      </w:tr>
      <w:tr>
        <w:tc>
          <w:tcPr>
            <w:tcW w:type="dxa" w:w="153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event_id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UUID</w:t>
            </w:r>
          </w:p>
        </w:tc>
        <w:tc>
          <w:tcPr>
            <w:tcW w:type="dxa" w:w="90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是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客户端生成的幂等标识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018f...</w:t>
            </w:r>
          </w:p>
        </w:tc>
      </w:tr>
      <w:tr>
        <w:tc>
          <w:tcPr>
            <w:tcW w:type="dxa" w:w="153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event_name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string</w:t>
            </w:r>
          </w:p>
        </w:tc>
        <w:tc>
          <w:tcPr>
            <w:tcW w:type="dxa" w:w="90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是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登记的事件名称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page_view</w:t>
            </w:r>
          </w:p>
        </w:tc>
      </w:tr>
      <w:tr>
        <w:tc>
          <w:tcPr>
            <w:tcW w:type="dxa" w:w="153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occurred_at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ISO 8601</w:t>
            </w:r>
          </w:p>
        </w:tc>
        <w:tc>
          <w:tcPr>
            <w:tcW w:type="dxa" w:w="90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是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客户端发生时间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2026-09-14T10:20:31Z</w:t>
            </w:r>
          </w:p>
        </w:tc>
      </w:tr>
      <w:tr>
        <w:tc>
          <w:tcPr>
            <w:tcW w:type="dxa" w:w="153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sent_at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ISO 8601</w:t>
            </w:r>
          </w:p>
        </w:tc>
        <w:tc>
          <w:tcPr>
            <w:tcW w:type="dxa" w:w="90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是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客户端发送时间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2026-09-14T10:20:35Z</w:t>
            </w:r>
          </w:p>
        </w:tc>
      </w:tr>
      <w:tr>
        <w:tc>
          <w:tcPr>
            <w:tcW w:type="dxa" w:w="153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site_id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string</w:t>
            </w:r>
          </w:p>
        </w:tc>
        <w:tc>
          <w:tcPr>
            <w:tcW w:type="dxa" w:w="90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是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公开站点标识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site_prod_x</w:t>
            </w:r>
          </w:p>
        </w:tc>
      </w:tr>
      <w:tr>
        <w:tc>
          <w:tcPr>
            <w:tcW w:type="dxa" w:w="153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visitor_id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UUID</w:t>
            </w:r>
          </w:p>
        </w:tc>
        <w:tc>
          <w:tcPr>
            <w:tcW w:type="dxa" w:w="90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条件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匿名浏览器身份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b35a...</w:t>
            </w:r>
          </w:p>
        </w:tc>
      </w:tr>
      <w:tr>
        <w:tc>
          <w:tcPr>
            <w:tcW w:type="dxa" w:w="153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session_id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UUID</w:t>
            </w:r>
          </w:p>
        </w:tc>
        <w:tc>
          <w:tcPr>
            <w:tcW w:type="dxa" w:w="90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条件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会话身份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c81e...</w:t>
            </w:r>
          </w:p>
        </w:tc>
      </w:tr>
      <w:tr>
        <w:tc>
          <w:tcPr>
            <w:tcW w:type="dxa" w:w="153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user_id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string</w:t>
            </w:r>
          </w:p>
        </w:tc>
        <w:tc>
          <w:tcPr>
            <w:tcW w:type="dxa" w:w="90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条件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已验证业务身份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cust_1024</w:t>
            </w:r>
          </w:p>
        </w:tc>
      </w:tr>
      <w:tr>
        <w:tc>
          <w:tcPr>
            <w:tcW w:type="dxa" w:w="153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consent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object</w:t>
            </w:r>
          </w:p>
        </w:tc>
        <w:tc>
          <w:tcPr>
            <w:tcW w:type="dxa" w:w="90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是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同意版本与用途状态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analytics true</w:t>
            </w:r>
          </w:p>
        </w:tc>
      </w:tr>
      <w:tr>
        <w:tc>
          <w:tcPr>
            <w:tcW w:type="dxa" w:w="153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context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object</w:t>
            </w:r>
          </w:p>
        </w:tc>
        <w:tc>
          <w:tcPr>
            <w:tcW w:type="dxa" w:w="90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是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页面、设备、来源和 SDK 环境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结构化对象</w:t>
            </w:r>
          </w:p>
        </w:tc>
      </w:tr>
      <w:tr>
        <w:tc>
          <w:tcPr>
            <w:tcW w:type="dxa" w:w="153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properties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object</w:t>
            </w:r>
          </w:p>
        </w:tc>
        <w:tc>
          <w:tcPr>
            <w:tcW w:type="dxa" w:w="90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否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事件专属字段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product_id p100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自动事件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75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事件</w:t>
            </w:r>
          </w:p>
        </w:tc>
        <w:tc>
          <w:tcPr>
            <w:tcW w:type="dxa" w:w="232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触发</w:t>
            </w:r>
          </w:p>
        </w:tc>
        <w:tc>
          <w:tcPr>
            <w:tcW w:type="dxa" w:w="328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关键属性</w:t>
            </w:r>
          </w:p>
        </w:tc>
        <w:tc>
          <w:tcPr>
            <w:tcW w:type="dxa" w:w="294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注意事项</w:t>
            </w:r>
          </w:p>
        </w:tc>
      </w:tr>
      <w:tr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sdk_loaded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SDK 初始化完成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sdk_version config_version load_ms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仅用于质量监控</w:t>
            </w:r>
          </w:p>
        </w:tc>
      </w:tr>
      <w:tr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session_start</w:t>
            </w:r>
          </w:p>
        </w:tc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创建新会话</w:t>
            </w:r>
          </w:p>
        </w:tc>
        <w:tc>
          <w:tcPr>
            <w:tcW w:type="dxa" w:w="328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landing_url referrer campaign</w:t>
            </w:r>
          </w:p>
        </w:tc>
        <w:tc>
          <w:tcPr>
            <w:tcW w:type="dxa" w:w="294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默认 30 分钟无活动结束</w:t>
            </w:r>
          </w:p>
        </w:tc>
      </w:tr>
      <w:tr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page_view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首屏或 SPA 路由稳定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url path title referrer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去除敏感查询参数和片段</w:t>
            </w:r>
          </w:p>
        </w:tc>
      </w:tr>
      <w:tr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page_engagement</w:t>
            </w:r>
          </w:p>
        </w:tc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页面隐藏 卸载或周期上报</w:t>
            </w:r>
          </w:p>
        </w:tc>
        <w:tc>
          <w:tcPr>
            <w:tcW w:type="dxa" w:w="328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active_ms visible_ms max_scroll</w:t>
            </w:r>
          </w:p>
        </w:tc>
        <w:tc>
          <w:tcPr>
            <w:tcW w:type="dxa" w:w="294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只累计可见且近期有活动的时间</w:t>
            </w:r>
          </w:p>
        </w:tc>
      </w:tr>
      <w:tr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click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命中允许规则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element_role text_token target_path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不采集自由输入和完整 DOM</w:t>
            </w:r>
          </w:p>
        </w:tc>
      </w:tr>
      <w:tr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form_start</w:t>
            </w:r>
          </w:p>
        </w:tc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允许表单首次交互</w:t>
            </w:r>
          </w:p>
        </w:tc>
        <w:tc>
          <w:tcPr>
            <w:tcW w:type="dxa" w:w="328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form_id form_type</w:t>
            </w:r>
          </w:p>
        </w:tc>
        <w:tc>
          <w:tcPr>
            <w:tcW w:type="dxa" w:w="294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不记录键入内容</w:t>
            </w:r>
          </w:p>
        </w:tc>
      </w:tr>
      <w:tr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form_submit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允许表单提交</w:t>
            </w:r>
          </w:p>
        </w:tc>
        <w:tc>
          <w:tcPr>
            <w:tcW w:type="dxa" w:w="32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form_id result error_code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字段值只按白名单采集</w:t>
            </w:r>
          </w:p>
        </w:tc>
      </w:tr>
      <w:tr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session_end</w:t>
            </w:r>
          </w:p>
        </w:tc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超时或可靠结束信号</w:t>
            </w:r>
          </w:p>
        </w:tc>
        <w:tc>
          <w:tcPr>
            <w:tcW w:type="dxa" w:w="328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duration_ms engaged_ms page_count</w:t>
            </w:r>
          </w:p>
        </w:tc>
        <w:tc>
          <w:tcPr>
            <w:tcW w:type="dxa" w:w="294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服务端也可补算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业务事件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47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领域</w:t>
            </w:r>
          </w:p>
        </w:tc>
        <w:tc>
          <w:tcPr>
            <w:tcW w:type="dxa" w:w="289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推荐事件</w:t>
            </w:r>
          </w:p>
        </w:tc>
        <w:tc>
          <w:tcPr>
            <w:tcW w:type="dxa" w:w="238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可信来源</w:t>
            </w:r>
          </w:p>
        </w:tc>
        <w:tc>
          <w:tcPr>
            <w:tcW w:type="dxa" w:w="357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核心属性</w:t>
            </w:r>
          </w:p>
        </w:tc>
      </w:tr>
      <w:tr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线索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lead_submitted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服务端或签名客户端</w:t>
            </w:r>
          </w:p>
        </w:tc>
        <w:tc>
          <w:tcPr>
            <w:tcW w:type="dxa" w:w="35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lead_id form_id channel</w:t>
            </w:r>
          </w:p>
        </w:tc>
      </w:tr>
      <w:tr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账户</w:t>
            </w:r>
          </w:p>
        </w:tc>
        <w:tc>
          <w:tcPr>
            <w:tcW w:type="dxa" w:w="289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sign_up login logout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服务端</w:t>
            </w:r>
          </w:p>
        </w:tc>
        <w:tc>
          <w:tcPr>
            <w:tcW w:type="dxa" w:w="35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user_id method result</w:t>
            </w:r>
          </w:p>
        </w:tc>
      </w:tr>
      <w:tr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内容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search content_view download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客户端与服务端</w:t>
            </w:r>
          </w:p>
        </w:tc>
        <w:tc>
          <w:tcPr>
            <w:tcW w:type="dxa" w:w="35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query_token content_id type</w:t>
            </w:r>
          </w:p>
        </w:tc>
      </w:tr>
      <w:tr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电商</w:t>
            </w:r>
          </w:p>
        </w:tc>
        <w:tc>
          <w:tcPr>
            <w:tcW w:type="dxa" w:w="289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product_view add_to_cart checkout_started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客户端</w:t>
            </w:r>
          </w:p>
        </w:tc>
        <w:tc>
          <w:tcPr>
            <w:tcW w:type="dxa" w:w="35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product_id sku quantity currency</w:t>
            </w:r>
          </w:p>
        </w:tc>
      </w:tr>
      <w:tr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交易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order_paid refund_completed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服务端</w:t>
            </w:r>
          </w:p>
        </w:tc>
        <w:tc>
          <w:tcPr>
            <w:tcW w:type="dxa" w:w="35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order_id amount currency status</w:t>
            </w:r>
          </w:p>
        </w:tc>
      </w:tr>
      <w:tr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订阅</w:t>
            </w:r>
          </w:p>
        </w:tc>
        <w:tc>
          <w:tcPr>
            <w:tcW w:type="dxa" w:w="289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trial_started subscription_started cancelled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服务端</w:t>
            </w:r>
          </w:p>
        </w:tc>
        <w:tc>
          <w:tcPr>
            <w:tcW w:type="dxa" w:w="35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plan_id subscription_id reason_code</w:t>
            </w:r>
          </w:p>
        </w:tc>
      </w:tr>
      <w:tr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支持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chat_started ticket_created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服务端</w:t>
            </w:r>
          </w:p>
        </w:tc>
        <w:tc>
          <w:tcPr>
            <w:tcW w:type="dxa" w:w="35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ticket_id channel category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来源和营销参数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系统保存首次触点和最近触点，识别 utm_source、utm_medium、utm_campaign、utm_term、utm_content 以及经批准的广告点击标识。原始落地 URL 在入库前执行规则清洗。包含邮箱、手机号、令牌、订单号或客户号的查询参数必须删除或哈希，不应把完整 referrer 或 URL 当作永久身份。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设备与网络信息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81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数据</w:t>
            </w:r>
          </w:p>
        </w:tc>
        <w:tc>
          <w:tcPr>
            <w:tcW w:type="dxa" w:w="226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建议粒度</w:t>
            </w:r>
          </w:p>
        </w:tc>
        <w:tc>
          <w:tcPr>
            <w:tcW w:type="dxa" w:w="170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是否默认采集</w:t>
            </w:r>
          </w:p>
        </w:tc>
        <w:tc>
          <w:tcPr>
            <w:tcW w:type="dxa" w:w="453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说明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浏览器与系统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名称和主版本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是</w:t>
            </w:r>
          </w:p>
        </w:tc>
        <w:tc>
          <w:tcPr>
            <w:tcW w:type="dxa" w:w="45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用于兼容性和体验分析</w:t>
            </w:r>
          </w:p>
        </w:tc>
      </w:tr>
      <w:tr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屏幕与视口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宽高区间</w:t>
            </w:r>
          </w:p>
        </w:tc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是</w:t>
            </w:r>
          </w:p>
        </w:tc>
        <w:tc>
          <w:tcPr>
            <w:tcW w:type="dxa" w:w="453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避免采集过细组合形成指纹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语言与时区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浏览器声明值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是</w:t>
            </w:r>
          </w:p>
        </w:tc>
        <w:tc>
          <w:tcPr>
            <w:tcW w:type="dxa" w:w="45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用于区域和本地化分析</w:t>
            </w:r>
          </w:p>
        </w:tc>
      </w:tr>
      <w:tr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IP 地址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接收端短暂处理</w:t>
            </w:r>
          </w:p>
        </w:tc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受控</w:t>
            </w:r>
          </w:p>
        </w:tc>
        <w:tc>
          <w:tcPr>
            <w:tcW w:type="dxa" w:w="453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用于安全和粗粒度地域；入库前截断或转换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地理位置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国家 省 市级推断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受控</w:t>
            </w:r>
          </w:p>
        </w:tc>
        <w:tc>
          <w:tcPr>
            <w:tcW w:type="dxa" w:w="45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不调用精确定位权限作为默认方案</w:t>
            </w:r>
          </w:p>
        </w:tc>
      </w:tr>
      <w:tr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User Agent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解析结果加短期原文</w:t>
            </w:r>
          </w:p>
        </w:tc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受控</w:t>
            </w:r>
          </w:p>
        </w:tc>
        <w:tc>
          <w:tcPr>
            <w:tcW w:type="dxa" w:w="453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限制保存期并用于故障诊断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设备指纹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不启用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否</w:t>
            </w:r>
          </w:p>
        </w:tc>
        <w:tc>
          <w:tcPr>
            <w:tcW w:type="dxa" w:w="45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只有独立必要性评估和明确授权后另行实施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字段治理规则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所有事件和属性先登记后进入正式环境。登记项包括中文名称、英文键、类型、目的、来源、负责人、敏感等级、同意类别和保存期限。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属性名称使用 snake_case，金额以最小货币单位或 Decimal 字符串表示，时间统一为 UTC 并保存站点时区。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事件版本只增加兼容字段。删除、改名或改变语义时创建新版本并保留迁移期。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采集端限制单事件体积、属性数、字符串长度和对象深度。接收端再次验证并记录丢弃原因。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自由文本默认禁止。确需采集时使用枚举、令牌化或服务端分类结果替代原文。</w:t>
      </w: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四 JS SDK 技术设计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接入方式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>&lt;script&gt;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window.customerTrack = window.customerTrack || function () {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  (window.customerTrack.q = window.customerTrack.q || []).push(arguments)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}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customerTrack('init', {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  siteId: 'site_public_id',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  endpoint: 'https://collect.example.com',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  consentMode: 'required'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})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>&lt;/script&gt;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>&lt;script async src="https://cdn.example.com/tracker/v1.js"&gt;&lt;/script&gt;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初始化片段先建立轻量队列，主脚本异步下载。站点公开标识只能用于归属，不能赋予读取或管理权限。域名白名单、CORS、签名和限流必须在接收端执行。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SDK 模块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70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模块</w:t>
            </w:r>
          </w:p>
        </w:tc>
        <w:tc>
          <w:tcPr>
            <w:tcW w:type="dxa" w:w="481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职责</w:t>
            </w:r>
          </w:p>
        </w:tc>
        <w:tc>
          <w:tcPr>
            <w:tcW w:type="dxa" w:w="379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失败策略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Loader</w:t>
            </w:r>
          </w:p>
        </w:tc>
        <w:tc>
          <w:tcPr>
            <w:tcW w:type="dxa" w:w="481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读取队列、下载配置、初始化模块</w:t>
            </w:r>
          </w:p>
        </w:tc>
        <w:tc>
          <w:tcPr>
            <w:tcW w:type="dxa" w:w="379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失败时静默停用，不阻塞页面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Consent</w:t>
            </w:r>
          </w:p>
        </w:tc>
        <w:tc>
          <w:tcPr>
            <w:tcW w:type="dxa" w:w="481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维护同意状态和用途开关</w:t>
            </w:r>
          </w:p>
        </w:tc>
        <w:tc>
          <w:tcPr>
            <w:tcW w:type="dxa" w:w="379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未知状态只执行允许的必要处理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Identity</w:t>
            </w:r>
          </w:p>
        </w:tc>
        <w:tc>
          <w:tcPr>
            <w:tcW w:type="dxa" w:w="481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visitor_id session_id user_id 生命周期</w:t>
            </w:r>
          </w:p>
        </w:tc>
        <w:tc>
          <w:tcPr>
            <w:tcW w:type="dxa" w:w="379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存储不可用时使用内存会话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Auto Track</w:t>
            </w:r>
          </w:p>
        </w:tc>
        <w:tc>
          <w:tcPr>
            <w:tcW w:type="dxa" w:w="481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页面、可见性、活动、滚动和允许的点击</w:t>
            </w:r>
          </w:p>
        </w:tc>
        <w:tc>
          <w:tcPr>
            <w:tcW w:type="dxa" w:w="379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单模块异常隔离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Event API</w:t>
            </w:r>
          </w:p>
        </w:tc>
        <w:tc>
          <w:tcPr>
            <w:tcW w:type="dxa" w:w="481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track identify page consent reset</w:t>
            </w:r>
          </w:p>
        </w:tc>
        <w:tc>
          <w:tcPr>
            <w:tcW w:type="dxa" w:w="379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参数校验后入队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Transport</w:t>
            </w:r>
          </w:p>
        </w:tc>
        <w:tc>
          <w:tcPr>
            <w:tcW w:type="dxa" w:w="481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批量、压缩、重试、Beacon 与 keepalive</w:t>
            </w:r>
          </w:p>
        </w:tc>
        <w:tc>
          <w:tcPr>
            <w:tcW w:type="dxa" w:w="379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指数退避并限制队列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Sanitizer</w:t>
            </w:r>
          </w:p>
        </w:tc>
        <w:tc>
          <w:tcPr>
            <w:tcW w:type="dxa" w:w="481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URL、文本、属性和敏感模式清洗</w:t>
            </w:r>
          </w:p>
        </w:tc>
        <w:tc>
          <w:tcPr>
            <w:tcW w:type="dxa" w:w="379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无法确认安全时丢弃字段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Diagnostics</w:t>
            </w:r>
          </w:p>
        </w:tc>
        <w:tc>
          <w:tcPr>
            <w:tcW w:type="dxa" w:w="481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采样上报版本、错误和丢弃原因</w:t>
            </w:r>
          </w:p>
        </w:tc>
        <w:tc>
          <w:tcPr>
            <w:tcW w:type="dxa" w:w="379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不得包含业务敏感数据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初始化生命周期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读取本地配置和同意状态，不在同意未知时创建分析用途标识。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获取带 ETag 的远程站点配置，验证版本、过期时间和签名。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初始化匿名身份与会话，注册页面生命周期和 SPA 路由监听。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将初始化前队列按原始顺序执行；每个命令独立捕获错误。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生成 sdk_loaded 诊断事件并开始批量传输。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单页应用支持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SDK 包装 history.pushState 和 replaceState，并监听 popstate。路由变化后等待标题和 canonical URL 稳定，再关闭上一页面的停留段并创建新的 page_view。框架集成包可提供 React、Vue 和 Next.js 辅助方法，但底层协议保持一致。重复路由、锚点变化和页面重定向需要可配置去重窗口。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有效停留算法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页面停留不能只用下一次事件时间相减。SDK 以 visibilitychange 识别可见状态，以 pointer、keyboard、scroll 和 touch 信号维护最近活动时间。仅当页面可见且最近一段时间内存在活动时累加 active_ms；页面隐藏时使用 sendBeacon 或 fetch keepalive 刷新。服务端根据心跳、页面边界和会话超时再次校验，得到可解释的有效停留。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70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参数</w:t>
            </w:r>
          </w:p>
        </w:tc>
        <w:tc>
          <w:tcPr>
            <w:tcW w:type="dxa" w:w="198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建议默认值</w:t>
            </w:r>
          </w:p>
        </w:tc>
        <w:tc>
          <w:tcPr>
            <w:tcW w:type="dxa" w:w="238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可配置范围</w:t>
            </w:r>
          </w:p>
        </w:tc>
        <w:tc>
          <w:tcPr>
            <w:tcW w:type="dxa" w:w="425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作用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会话超时</w:t>
            </w:r>
          </w:p>
        </w:tc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30 分钟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15 至 60 分钟</w:t>
            </w:r>
          </w:p>
        </w:tc>
        <w:tc>
          <w:tcPr>
            <w:tcW w:type="dxa" w:w="42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划分跨天和长时间无活动访问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活动窗口</w:t>
            </w:r>
          </w:p>
        </w:tc>
        <w:tc>
          <w:tcPr>
            <w:tcW w:type="dxa" w:w="198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60 秒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30 至 120 秒</w:t>
            </w:r>
          </w:p>
        </w:tc>
        <w:tc>
          <w:tcPr>
            <w:tcW w:type="dxa" w:w="425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避免后台标签页持续计时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周期刷新</w:t>
            </w:r>
          </w:p>
        </w:tc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15 秒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10 至 60 秒</w:t>
            </w:r>
          </w:p>
        </w:tc>
        <w:tc>
          <w:tcPr>
            <w:tcW w:type="dxa" w:w="42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降低页面异常关闭造成的损失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路由去重</w:t>
            </w:r>
          </w:p>
        </w:tc>
        <w:tc>
          <w:tcPr>
            <w:tcW w:type="dxa" w:w="198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500 毫秒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100 至 2000 毫秒</w:t>
            </w:r>
          </w:p>
        </w:tc>
        <w:tc>
          <w:tcPr>
            <w:tcW w:type="dxa" w:w="425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避免连续导航产生重复浏览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最大批量</w:t>
            </w:r>
          </w:p>
        </w:tc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20 条或 48 KB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按压测调整</w:t>
            </w:r>
          </w:p>
        </w:tc>
        <w:tc>
          <w:tcPr>
            <w:tcW w:type="dxa" w:w="42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平衡请求数和失败重传范围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点击与表单采集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点击自动采集仅覆盖配置规则。选择器优先使用 data-track-id、ARIA role、稳定组件标识和经过截断的文本令牌，不保存完整 DOM 路径。password、hidden、file、autocomplete 敏感字段以及配置的私密区域全部跳过。表单默认只记录开始、提交、成功、失败、字段数量和错误码；字段值必须逐项加入白名单。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传输可靠性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批量请求包含 batch_id 和事件 event_id。接收端按组织、站点和 event_id 幂等。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网络失败采用带随机抖动的指数退避；4xx 参数错误不重试，429 和 5xx 按 Retry After 重试。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离线队列设事件数和字节上限，超过上限按最旧优先丢弃，并记录本地丢弃计数。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页面隐藏优先 sendBeacon；需要自定义头或响应处理时使用 fetch keepalive。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客户端时间仅用于排序参考。服务端同时保存 received_at，并标记时钟偏差和迟到事件。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性能与兼容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70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289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目标</w:t>
            </w:r>
          </w:p>
        </w:tc>
        <w:tc>
          <w:tcPr>
            <w:tcW w:type="dxa" w:w="572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工程措施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脚本体积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gzip 不高于 40 KB</w:t>
            </w:r>
          </w:p>
        </w:tc>
        <w:tc>
          <w:tcPr>
            <w:tcW w:type="dxa" w:w="572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模块化构建、tree shaking、无大型依赖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加载</w:t>
            </w:r>
          </w:p>
        </w:tc>
        <w:tc>
          <w:tcPr>
            <w:tcW w:type="dxa" w:w="289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不阻塞 HTML 解析和首屏</w:t>
            </w:r>
          </w:p>
        </w:tc>
        <w:tc>
          <w:tcPr>
            <w:tcW w:type="dxa" w:w="572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async、CDN 缓存、短超时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主线程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长任务增量可忽略</w:t>
            </w:r>
          </w:p>
        </w:tc>
        <w:tc>
          <w:tcPr>
            <w:tcW w:type="dxa" w:w="572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事件委托、节流、空闲调度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内存</w:t>
            </w:r>
          </w:p>
        </w:tc>
        <w:tc>
          <w:tcPr>
            <w:tcW w:type="dxa" w:w="289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长会话无持续增长</w:t>
            </w:r>
          </w:p>
        </w:tc>
        <w:tc>
          <w:tcPr>
            <w:tcW w:type="dxa" w:w="572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有界队列、清理监听器、泄漏测试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异常隔离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 错误不冒泡到宿主</w:t>
            </w:r>
          </w:p>
        </w:tc>
        <w:tc>
          <w:tcPr>
            <w:tcW w:type="dxa" w:w="572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模块边界 try catch 和熔断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浏览器</w:t>
            </w:r>
          </w:p>
        </w:tc>
        <w:tc>
          <w:tcPr>
            <w:tcW w:type="dxa" w:w="289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主流浏览器近两年版本</w:t>
            </w:r>
          </w:p>
        </w:tc>
        <w:tc>
          <w:tcPr>
            <w:tcW w:type="dxa" w:w="572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ES 构建分级与自动化矩阵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发布与回滚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SDK 使用语义版本和固定主版本 URL。站点可锁定精确版本，CDN 不得在相同版本号下替换内容。每次发布先进入内部站点，再灰度到 5%、25%、100%。配置中心提供全局停用、站点停用、模块停用和采样开关。发现页面错误率、采集错误率或性能指标异常时，回退 CDN 指针并停用新配置。</w:t>
      </w: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五 身份识别与客户合并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身份对象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75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对象</w:t>
            </w:r>
          </w:p>
        </w:tc>
        <w:tc>
          <w:tcPr>
            <w:tcW w:type="dxa" w:w="226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生成方</w:t>
            </w:r>
          </w:p>
        </w:tc>
        <w:tc>
          <w:tcPr>
            <w:tcW w:type="dxa" w:w="260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生命周期</w:t>
            </w:r>
          </w:p>
        </w:tc>
        <w:tc>
          <w:tcPr>
            <w:tcW w:type="dxa" w:w="396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用途</w:t>
            </w:r>
          </w:p>
        </w:tc>
      </w:tr>
      <w:tr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visitor_id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</w:t>
            </w:r>
          </w:p>
        </w:tc>
        <w:tc>
          <w:tcPr>
            <w:tcW w:type="dxa" w:w="2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浏览器存储期内</w:t>
            </w:r>
          </w:p>
        </w:tc>
        <w:tc>
          <w:tcPr>
            <w:tcW w:type="dxa" w:w="396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连接同一浏览器的匿名访问</w:t>
            </w:r>
          </w:p>
        </w:tc>
      </w:tr>
      <w:tr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session_id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</w:t>
            </w:r>
          </w:p>
        </w:tc>
        <w:tc>
          <w:tcPr>
            <w:tcW w:type="dxa" w:w="260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一次访问会话</w:t>
            </w:r>
          </w:p>
        </w:tc>
        <w:tc>
          <w:tcPr>
            <w:tcW w:type="dxa" w:w="396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组织页面和互动事件</w:t>
            </w:r>
          </w:p>
        </w:tc>
      </w:tr>
      <w:tr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user_id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业务服务端</w:t>
            </w:r>
          </w:p>
        </w:tc>
        <w:tc>
          <w:tcPr>
            <w:tcW w:type="dxa" w:w="2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业务账户生命周期</w:t>
            </w:r>
          </w:p>
        </w:tc>
        <w:tc>
          <w:tcPr>
            <w:tcW w:type="dxa" w:w="396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确定性跨设备身份</w:t>
            </w:r>
          </w:p>
        </w:tc>
      </w:tr>
      <w:tr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contact_id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平台</w:t>
            </w:r>
          </w:p>
        </w:tc>
        <w:tc>
          <w:tcPr>
            <w:tcW w:type="dxa" w:w="260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客户档案生命周期</w:t>
            </w:r>
          </w:p>
        </w:tc>
        <w:tc>
          <w:tcPr>
            <w:tcW w:type="dxa" w:w="396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后台统一客户主键</w:t>
            </w:r>
          </w:p>
        </w:tc>
      </w:tr>
      <w:tr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anonymous_id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导入或其他 SDK</w:t>
            </w:r>
          </w:p>
        </w:tc>
        <w:tc>
          <w:tcPr>
            <w:tcW w:type="dxa" w:w="2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来源系统定义</w:t>
            </w:r>
          </w:p>
        </w:tc>
        <w:tc>
          <w:tcPr>
            <w:tcW w:type="dxa" w:w="396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兼容多来源匿名身份</w:t>
            </w:r>
          </w:p>
        </w:tc>
      </w:tr>
      <w:tr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external_id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CRM 或订单系统</w:t>
            </w:r>
          </w:p>
        </w:tc>
        <w:tc>
          <w:tcPr>
            <w:tcW w:type="dxa" w:w="260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业务系统定义</w:t>
            </w:r>
          </w:p>
        </w:tc>
        <w:tc>
          <w:tcPr>
            <w:tcW w:type="dxa" w:w="396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与外部客户档案对接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确定性识别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>customerTrack('identify', {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userId: 'customer_1024',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identityToken: '&lt;server-signed-short-lived-token&gt;',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traits: { plan: 'pro', customer_type: 'business' }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>})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identityToken 由业务服务端签发，至少包含 site_id、user_id、issued_at、expires_at 和 nonce，并使用站点服务端密钥签名。采集平台验证签名、有效期、站点和防重放信息后，才允许把 user_id 与匿名轨迹合并。邮箱和手机号等联系方式应由业务服务端传递，客户端不得自行声明已验证状态。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合并规则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同一 visitor_id 首次绑定已验证 user_id 时，将允许范围内的匿名历史关联到对应 contact_id。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同一 visitor_id 后续绑定不同 user_id 时，默认不自动合并两个客户。系统创建冲突记录，并按共享设备策略结束原身份上下文。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登出时调用 reset，清除当前 user_id 和客户属性，但保留或重建匿名身份由站点策略决定。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多个 visitor_id 绑定同一 user_id 时可确定性汇入同一 contact_id，实现跨设备视图。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合并操作保存来源、规则版本、操作者、时间和前后关系。管理员可以在审计支持下解除错误合并。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共享设备和账户切换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公共电脑和家庭设备可能承载多个账户。SDK 在登录身份改变时必须关闭当前会话并重置身份上下文，不能把后续行为继续归给前一用户。匿名历史是否归入最近登录用户需要业务确认；高风险业务建议只关联登录后的行为。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客户属性优先级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87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属性来源</w:t>
            </w:r>
          </w:p>
        </w:tc>
        <w:tc>
          <w:tcPr>
            <w:tcW w:type="dxa" w:w="170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可信等级</w:t>
            </w:r>
          </w:p>
        </w:tc>
        <w:tc>
          <w:tcPr>
            <w:tcW w:type="dxa" w:w="408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更新规则</w:t>
            </w:r>
          </w:p>
        </w:tc>
        <w:tc>
          <w:tcPr>
            <w:tcW w:type="dxa" w:w="351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示例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业务服务端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最高</w:t>
            </w:r>
          </w:p>
        </w:tc>
        <w:tc>
          <w:tcPr>
            <w:tcW w:type="dxa" w:w="408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按业务版本或更新时间覆盖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账户类型、合同状态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已验证表单</w:t>
            </w:r>
          </w:p>
        </w:tc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高</w:t>
            </w:r>
          </w:p>
        </w:tc>
        <w:tc>
          <w:tcPr>
            <w:tcW w:type="dxa" w:w="408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保留验证时间和来源</w:t>
            </w:r>
          </w:p>
        </w:tc>
        <w:tc>
          <w:tcPr>
            <w:tcW w:type="dxa" w:w="351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邮箱、手机号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CRM 同步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高</w:t>
            </w:r>
          </w:p>
        </w:tc>
        <w:tc>
          <w:tcPr>
            <w:tcW w:type="dxa" w:w="408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按源系统主键和更新时间合并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销售负责人、阶段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客户端 identify</w:t>
            </w:r>
          </w:p>
        </w:tc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中</w:t>
            </w:r>
          </w:p>
        </w:tc>
        <w:tc>
          <w:tcPr>
            <w:tcW w:type="dxa" w:w="408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只允许低敏感白名单字段</w:t>
            </w:r>
          </w:p>
        </w:tc>
        <w:tc>
          <w:tcPr>
            <w:tcW w:type="dxa" w:w="351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语言、界面偏好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行为推断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低</w:t>
            </w:r>
          </w:p>
        </w:tc>
        <w:tc>
          <w:tcPr>
            <w:tcW w:type="dxa" w:w="408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单独标记为推断并设置失效期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兴趣类别</w:t>
            </w:r>
          </w:p>
        </w:tc>
      </w:tr>
    </w:tbl>
    <w:p>
      <w:pPr>
        <w:spacing w:after="20"/>
      </w:pP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六 平台架构与数据处理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逻辑架构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70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层级</w:t>
            </w:r>
          </w:p>
        </w:tc>
        <w:tc>
          <w:tcPr>
            <w:tcW w:type="dxa" w:w="368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组件</w:t>
            </w:r>
          </w:p>
        </w:tc>
        <w:tc>
          <w:tcPr>
            <w:tcW w:type="dxa" w:w="5783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责任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接入层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CDN JS SDK 服务端 SDK</w:t>
            </w:r>
          </w:p>
        </w:tc>
        <w:tc>
          <w:tcPr>
            <w:tcW w:type="dxa" w:w="578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加载、采集、同意、清洗、批量和签名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边缘接收层</w:t>
            </w:r>
          </w:p>
        </w:tc>
        <w:tc>
          <w:tcPr>
            <w:tcW w:type="dxa" w:w="36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Collector API WAF 限流</w:t>
            </w:r>
          </w:p>
        </w:tc>
        <w:tc>
          <w:tcPr>
            <w:tcW w:type="dxa" w:w="578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鉴权、大小限制、模式校验、幂等预检和快速响应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异步处理层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队列 Worker 死信队列</w:t>
            </w:r>
          </w:p>
        </w:tc>
        <w:tc>
          <w:tcPr>
            <w:tcW w:type="dxa" w:w="578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标准化、身份解析、会话化、地域解析、写入和重放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数据层</w:t>
            </w:r>
          </w:p>
        </w:tc>
        <w:tc>
          <w:tcPr>
            <w:tcW w:type="dxa" w:w="36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PostgreSQL Redis 对象存储</w:t>
            </w:r>
          </w:p>
        </w:tc>
        <w:tc>
          <w:tcPr>
            <w:tcW w:type="dxa" w:w="578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事务数据、缓存队列、归档和导出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应用层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Admin API Query API Privacy API</w:t>
            </w:r>
          </w:p>
        </w:tc>
        <w:tc>
          <w:tcPr>
            <w:tcW w:type="dxa" w:w="578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后台业务、检索、权限、隐私和审计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展示层</w:t>
            </w:r>
          </w:p>
        </w:tc>
        <w:tc>
          <w:tcPr>
            <w:tcW w:type="dxa" w:w="36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独立 Web 后台</w:t>
            </w:r>
          </w:p>
        </w:tc>
        <w:tc>
          <w:tcPr>
            <w:tcW w:type="dxa" w:w="578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客户轨迹、分析、治理和系统管理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运维层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日志 指标 追踪 告警 CI CD</w:t>
            </w:r>
          </w:p>
        </w:tc>
        <w:tc>
          <w:tcPr>
            <w:tcW w:type="dxa" w:w="578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可观测性、发布、恢复和容量管理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首期技术栈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87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领域</w:t>
            </w:r>
          </w:p>
        </w:tc>
        <w:tc>
          <w:tcPr>
            <w:tcW w:type="dxa" w:w="408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建议</w:t>
            </w:r>
          </w:p>
        </w:tc>
        <w:tc>
          <w:tcPr>
            <w:tcW w:type="dxa" w:w="521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替代方案与触发条件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</w:t>
            </w:r>
          </w:p>
        </w:tc>
        <w:tc>
          <w:tcPr>
            <w:tcW w:type="dxa" w:w="408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TypeScript 加 Rollup 或 Vite Library</w:t>
            </w:r>
          </w:p>
        </w:tc>
        <w:tc>
          <w:tcPr>
            <w:tcW w:type="dxa" w:w="52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需要多运行时包时拆分核心和适配器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后台前端</w:t>
            </w:r>
          </w:p>
        </w:tc>
        <w:tc>
          <w:tcPr>
            <w:tcW w:type="dxa" w:w="408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React 加 Next.js</w:t>
            </w:r>
          </w:p>
        </w:tc>
        <w:tc>
          <w:tcPr>
            <w:tcW w:type="dxa" w:w="521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团队已有 Vue 标准时可统一采用 Vue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应用后端</w:t>
            </w:r>
          </w:p>
        </w:tc>
        <w:tc>
          <w:tcPr>
            <w:tcW w:type="dxa" w:w="408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TypeScript NestJS 或 Fastify</w:t>
            </w:r>
          </w:p>
        </w:tc>
        <w:tc>
          <w:tcPr>
            <w:tcW w:type="dxa" w:w="52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团队 Java 能力更强时采用 Spring Boot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事务数据库</w:t>
            </w:r>
          </w:p>
        </w:tc>
        <w:tc>
          <w:tcPr>
            <w:tcW w:type="dxa" w:w="408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PostgreSQL 分区表</w:t>
            </w:r>
          </w:p>
        </w:tc>
        <w:tc>
          <w:tcPr>
            <w:tcW w:type="dxa" w:w="521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事件量持续超出基准后增加 ClickHouse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队列与缓存</w:t>
            </w:r>
          </w:p>
        </w:tc>
        <w:tc>
          <w:tcPr>
            <w:tcW w:type="dxa" w:w="408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Redis Streams 或托管队列</w:t>
            </w:r>
          </w:p>
        </w:tc>
        <w:tc>
          <w:tcPr>
            <w:tcW w:type="dxa" w:w="52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吞吐和重放需求上升后使用 Kafka 或 NATS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对象存储</w:t>
            </w:r>
          </w:p>
        </w:tc>
        <w:tc>
          <w:tcPr>
            <w:tcW w:type="dxa" w:w="408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S3 兼容服务</w:t>
            </w:r>
          </w:p>
        </w:tc>
        <w:tc>
          <w:tcPr>
            <w:tcW w:type="dxa" w:w="521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用于导出、归档和离线备份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部署</w:t>
            </w:r>
          </w:p>
        </w:tc>
        <w:tc>
          <w:tcPr>
            <w:tcW w:type="dxa" w:w="408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Docker 加托管容器或 Kubernetes</w:t>
            </w:r>
          </w:p>
        </w:tc>
        <w:tc>
          <w:tcPr>
            <w:tcW w:type="dxa" w:w="521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首期规模较小时优先托管容器降低运维成本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模块边界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87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模块</w:t>
            </w:r>
          </w:p>
        </w:tc>
        <w:tc>
          <w:tcPr>
            <w:tcW w:type="dxa" w:w="430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拥有的数据</w:t>
            </w:r>
          </w:p>
        </w:tc>
        <w:tc>
          <w:tcPr>
            <w:tcW w:type="dxa" w:w="498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公开接口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Tenant</w:t>
            </w:r>
          </w:p>
        </w:tc>
        <w:tc>
          <w:tcPr>
            <w:tcW w:type="dxa" w:w="430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组织、站点、环境、域名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组织和站点管理 API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Auth</w:t>
            </w:r>
          </w:p>
        </w:tc>
        <w:tc>
          <w:tcPr>
            <w:tcW w:type="dxa" w:w="430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成员、角色、会话、API 密钥</w:t>
            </w:r>
          </w:p>
        </w:tc>
        <w:tc>
          <w:tcPr>
            <w:tcW w:type="dxa" w:w="498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登录、授权和密钥 API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Ingestion</w:t>
            </w:r>
          </w:p>
        </w:tc>
        <w:tc>
          <w:tcPr>
            <w:tcW w:type="dxa" w:w="430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批次、接收记录、拒绝原因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批量采集 API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Identity</w:t>
            </w:r>
          </w:p>
        </w:tc>
        <w:tc>
          <w:tcPr>
            <w:tcW w:type="dxa" w:w="430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访客、标识、客户、合并图</w:t>
            </w:r>
          </w:p>
        </w:tc>
        <w:tc>
          <w:tcPr>
            <w:tcW w:type="dxa" w:w="498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identify、merge、reset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Behavior</w:t>
            </w:r>
          </w:p>
        </w:tc>
        <w:tc>
          <w:tcPr>
            <w:tcW w:type="dxa" w:w="430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事件、页面、会话、转化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事件查询和时间线 API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Analytics</w:t>
            </w:r>
          </w:p>
        </w:tc>
        <w:tc>
          <w:tcPr>
            <w:tcW w:type="dxa" w:w="430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聚合、漏斗、来源和留存</w:t>
            </w:r>
          </w:p>
        </w:tc>
        <w:tc>
          <w:tcPr>
            <w:tcW w:type="dxa" w:w="498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指标查询 API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Governance</w:t>
            </w:r>
          </w:p>
        </w:tc>
        <w:tc>
          <w:tcPr>
            <w:tcW w:type="dxa" w:w="430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事件目录、字段规则、同意、保留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治理配置 API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Privacy</w:t>
            </w:r>
          </w:p>
        </w:tc>
        <w:tc>
          <w:tcPr>
            <w:tcW w:type="dxa" w:w="430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访问、导出、删除请求</w:t>
            </w:r>
          </w:p>
        </w:tc>
        <w:tc>
          <w:tcPr>
            <w:tcW w:type="dxa" w:w="498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隐私工作流 API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Audit</w:t>
            </w:r>
          </w:p>
        </w:tc>
        <w:tc>
          <w:tcPr>
            <w:tcW w:type="dxa" w:w="430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管理操作和安全事件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审计检索 API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事件处理状态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70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状态</w:t>
            </w:r>
          </w:p>
        </w:tc>
        <w:tc>
          <w:tcPr>
            <w:tcW w:type="dxa" w:w="283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进入条件</w:t>
            </w:r>
          </w:p>
        </w:tc>
        <w:tc>
          <w:tcPr>
            <w:tcW w:type="dxa" w:w="340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后续动作</w:t>
            </w:r>
          </w:p>
        </w:tc>
        <w:tc>
          <w:tcPr>
            <w:tcW w:type="dxa" w:w="323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可观测信息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received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HTTP 基础校验通过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写入持久队列并返回 202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批次大小 请求来源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validated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模式、租户、同意和域名通过</w:t>
            </w:r>
          </w:p>
        </w:tc>
        <w:tc>
          <w:tcPr>
            <w:tcW w:type="dxa" w:w="340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标准化字段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规则版本 警告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enriched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身份、会话和粗粒度地域完成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写事件和派生记录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处理耗时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stored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事务提交成功</w:t>
            </w:r>
          </w:p>
        </w:tc>
        <w:tc>
          <w:tcPr>
            <w:tcW w:type="dxa" w:w="340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更新聚合和索引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分区 写入延迟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rejected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不可恢复的格式或策略错误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保存计数和有限诊断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原因码 字段路径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retrying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依赖暂时失败</w:t>
            </w:r>
          </w:p>
        </w:tc>
        <w:tc>
          <w:tcPr>
            <w:tcW w:type="dxa" w:w="340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指数退避重试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次数 下次时间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dead_letter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超过重试上限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人工处置或重放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原批次引用 错误摘要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幂等 顺序和迟到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写入唯一键建议为 organization_id、site_id、event_id。单个会话的显示顺序以 occurred_at 为主，以 received_at 和序列号打破并列；平台不承诺跨设备严格顺序。超过允许时钟偏差或到达窗口的事件标记 late_event，但仍可在保留期内进入明细。聚合任务按水位线重算受影响时间窗。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扩展路径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只有当实际压测或生产趋势证明 PostgreSQL 无法在成本和查询时延目标内承载时，才引入 ClickHouse。迁移顺序为双写原始事件、结果对账、查询影子流量、灰度切换和保留回退开关。消息系统的升级也遵循相同原则，避免首期承担不必要的分布式运维成本。</w:t>
      </w: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七 数据库设计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核心实体关系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organization 拥有多个 site；site 拥有 visitor、session 和 event；contact 代表可识别客户，identity 把 user_id、visitor_id、邮箱哈希或外部主键关联到 contact；event 同时引用 visitor、session 和可选 contact；consent_record、merge_history、audit_log 和 privacy_request 保存治理证据。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核心表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87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表</w:t>
            </w:r>
          </w:p>
        </w:tc>
        <w:tc>
          <w:tcPr>
            <w:tcW w:type="dxa" w:w="289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主键和关键外键</w:t>
            </w:r>
          </w:p>
        </w:tc>
        <w:tc>
          <w:tcPr>
            <w:tcW w:type="dxa" w:w="436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主要字段</w:t>
            </w:r>
          </w:p>
        </w:tc>
        <w:tc>
          <w:tcPr>
            <w:tcW w:type="dxa" w:w="277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索引与分区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organizations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id</w:t>
            </w:r>
          </w:p>
        </w:tc>
        <w:tc>
          <w:tcPr>
            <w:tcW w:type="dxa" w:w="436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name status region created_at</w:t>
            </w:r>
          </w:p>
        </w:tc>
        <w:tc>
          <w:tcPr>
            <w:tcW w:type="dxa" w:w="27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status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sites</w:t>
            </w:r>
          </w:p>
        </w:tc>
        <w:tc>
          <w:tcPr>
            <w:tcW w:type="dxa" w:w="289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id organization_id</w:t>
            </w:r>
          </w:p>
        </w:tc>
        <w:tc>
          <w:tcPr>
            <w:tcW w:type="dxa" w:w="436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name public_key domains timezone config_version</w:t>
            </w:r>
          </w:p>
        </w:tc>
        <w:tc>
          <w:tcPr>
            <w:tcW w:type="dxa" w:w="277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organization_id unique public_key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visitors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id site_id</w:t>
            </w:r>
          </w:p>
        </w:tc>
        <w:tc>
          <w:tcPr>
            <w:tcW w:type="dxa" w:w="436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first_seen last_seen consent_state</w:t>
            </w:r>
          </w:p>
        </w:tc>
        <w:tc>
          <w:tcPr>
            <w:tcW w:type="dxa" w:w="27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site_id last_seen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contacts</w:t>
            </w:r>
          </w:p>
        </w:tc>
        <w:tc>
          <w:tcPr>
            <w:tcW w:type="dxa" w:w="289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id organization_id</w:t>
            </w:r>
          </w:p>
        </w:tc>
        <w:tc>
          <w:tcPr>
            <w:tcW w:type="dxa" w:w="436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display_name status first_seen last_seen</w:t>
            </w:r>
          </w:p>
        </w:tc>
        <w:tc>
          <w:tcPr>
            <w:tcW w:type="dxa" w:w="277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organization_id last_seen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identities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id contact_id</w:t>
            </w:r>
          </w:p>
        </w:tc>
        <w:tc>
          <w:tcPr>
            <w:tcW w:type="dxa" w:w="436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type normalized_hash verified_at source</w:t>
            </w:r>
          </w:p>
        </w:tc>
        <w:tc>
          <w:tcPr>
            <w:tcW w:type="dxa" w:w="27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organization_id type normalized_hash unique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sessions</w:t>
            </w:r>
          </w:p>
        </w:tc>
        <w:tc>
          <w:tcPr>
            <w:tcW w:type="dxa" w:w="289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id site_id visitor_id contact_id</w:t>
            </w:r>
          </w:p>
        </w:tc>
        <w:tc>
          <w:tcPr>
            <w:tcW w:type="dxa" w:w="436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started_at ended_at engaged_ms landing source</w:t>
            </w:r>
          </w:p>
        </w:tc>
        <w:tc>
          <w:tcPr>
            <w:tcW w:type="dxa" w:w="277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按 started_at 月分区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events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id site_id session_id visitor_id contact_id</w:t>
            </w:r>
          </w:p>
        </w:tc>
        <w:tc>
          <w:tcPr>
            <w:tcW w:type="dxa" w:w="436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name occurred_at received_at context properties</w:t>
            </w:r>
          </w:p>
        </w:tc>
        <w:tc>
          <w:tcPr>
            <w:tcW w:type="dxa" w:w="27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按 occurred_at 日或月分区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consent_records</w:t>
            </w:r>
          </w:p>
        </w:tc>
        <w:tc>
          <w:tcPr>
            <w:tcW w:type="dxa" w:w="289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id site_id visitor_id contact_id</w:t>
            </w:r>
          </w:p>
        </w:tc>
        <w:tc>
          <w:tcPr>
            <w:tcW w:type="dxa" w:w="436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version purposes source occurred_at</w:t>
            </w:r>
          </w:p>
        </w:tc>
        <w:tc>
          <w:tcPr>
            <w:tcW w:type="dxa" w:w="277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site_id visitor_id occurred_at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merge_history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id organization_id</w:t>
            </w:r>
          </w:p>
        </w:tc>
        <w:tc>
          <w:tcPr>
            <w:tcW w:type="dxa" w:w="436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from_contact to_contact rule actor before after</w:t>
            </w:r>
          </w:p>
        </w:tc>
        <w:tc>
          <w:tcPr>
            <w:tcW w:type="dxa" w:w="27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organization_id created_at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event_definitions</w:t>
            </w:r>
          </w:p>
        </w:tc>
        <w:tc>
          <w:tcPr>
            <w:tcW w:type="dxa" w:w="289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id organization_id</w:t>
            </w:r>
          </w:p>
        </w:tc>
        <w:tc>
          <w:tcPr>
            <w:tcW w:type="dxa" w:w="436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name version schema purpose owner status</w:t>
            </w:r>
          </w:p>
        </w:tc>
        <w:tc>
          <w:tcPr>
            <w:tcW w:type="dxa" w:w="277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organization_id name version unique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privacy_requests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id organization_id</w:t>
            </w:r>
          </w:p>
        </w:tc>
        <w:tc>
          <w:tcPr>
            <w:tcW w:type="dxa" w:w="436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type subject status approvals completed_at</w:t>
            </w:r>
          </w:p>
        </w:tc>
        <w:tc>
          <w:tcPr>
            <w:tcW w:type="dxa" w:w="27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organization_id status created_at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audit_logs</w:t>
            </w:r>
          </w:p>
        </w:tc>
        <w:tc>
          <w:tcPr>
            <w:tcW w:type="dxa" w:w="289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id organization_id</w:t>
            </w:r>
          </w:p>
        </w:tc>
        <w:tc>
          <w:tcPr>
            <w:tcW w:type="dxa" w:w="436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actor action resource result ip created_at</w:t>
            </w:r>
          </w:p>
        </w:tc>
        <w:tc>
          <w:tcPr>
            <w:tcW w:type="dxa" w:w="277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按 created_at 月分区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事件表字段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204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字段</w:t>
            </w:r>
          </w:p>
        </w:tc>
        <w:tc>
          <w:tcPr>
            <w:tcW w:type="dxa" w:w="204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建议类型</w:t>
            </w:r>
          </w:p>
        </w:tc>
        <w:tc>
          <w:tcPr>
            <w:tcW w:type="dxa" w:w="232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约束</w:t>
            </w:r>
          </w:p>
        </w:tc>
        <w:tc>
          <w:tcPr>
            <w:tcW w:type="dxa" w:w="549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说明</w:t>
            </w:r>
          </w:p>
        </w:tc>
      </w:tr>
      <w:tr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id</w:t>
            </w:r>
          </w:p>
        </w:tc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UUID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主键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内部事件主键</w:t>
            </w:r>
          </w:p>
        </w:tc>
      </w:tr>
      <w:tr>
        <w:tc>
          <w:tcPr>
            <w:tcW w:type="dxa" w:w="204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organization_id</w:t>
            </w:r>
          </w:p>
        </w:tc>
        <w:tc>
          <w:tcPr>
            <w:tcW w:type="dxa" w:w="204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UUID</w:t>
            </w:r>
          </w:p>
        </w:tc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非空</w:t>
            </w:r>
          </w:p>
        </w:tc>
        <w:tc>
          <w:tcPr>
            <w:tcW w:type="dxa" w:w="549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租户隔离键，每次查询强制带入</w:t>
            </w:r>
          </w:p>
        </w:tc>
      </w:tr>
      <w:tr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site_id</w:t>
            </w:r>
          </w:p>
        </w:tc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UUID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非空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站点外键</w:t>
            </w:r>
          </w:p>
        </w:tc>
      </w:tr>
      <w:tr>
        <w:tc>
          <w:tcPr>
            <w:tcW w:type="dxa" w:w="204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event_id</w:t>
            </w:r>
          </w:p>
        </w:tc>
        <w:tc>
          <w:tcPr>
            <w:tcW w:type="dxa" w:w="204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UUID</w:t>
            </w:r>
          </w:p>
        </w:tc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非空唯一组合</w:t>
            </w:r>
          </w:p>
        </w:tc>
        <w:tc>
          <w:tcPr>
            <w:tcW w:type="dxa" w:w="549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来源幂等键</w:t>
            </w:r>
          </w:p>
        </w:tc>
      </w:tr>
      <w:tr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event_name</w:t>
            </w:r>
          </w:p>
        </w:tc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varchar 80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非空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登记名称</w:t>
            </w:r>
          </w:p>
        </w:tc>
      </w:tr>
      <w:tr>
        <w:tc>
          <w:tcPr>
            <w:tcW w:type="dxa" w:w="204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schema_version</w:t>
            </w:r>
          </w:p>
        </w:tc>
        <w:tc>
          <w:tcPr>
            <w:tcW w:type="dxa" w:w="204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smallint</w:t>
            </w:r>
          </w:p>
        </w:tc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非空</w:t>
            </w:r>
          </w:p>
        </w:tc>
        <w:tc>
          <w:tcPr>
            <w:tcW w:type="dxa" w:w="549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事件模式版本</w:t>
            </w:r>
          </w:p>
        </w:tc>
      </w:tr>
      <w:tr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visitor_id</w:t>
            </w:r>
          </w:p>
        </w:tc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UUID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可空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匿名访问者</w:t>
            </w:r>
          </w:p>
        </w:tc>
      </w:tr>
      <w:tr>
        <w:tc>
          <w:tcPr>
            <w:tcW w:type="dxa" w:w="204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session_id</w:t>
            </w:r>
          </w:p>
        </w:tc>
        <w:tc>
          <w:tcPr>
            <w:tcW w:type="dxa" w:w="204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UUID</w:t>
            </w:r>
          </w:p>
        </w:tc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可空</w:t>
            </w:r>
          </w:p>
        </w:tc>
        <w:tc>
          <w:tcPr>
            <w:tcW w:type="dxa" w:w="549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会话</w:t>
            </w:r>
          </w:p>
        </w:tc>
      </w:tr>
      <w:tr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contact_id</w:t>
            </w:r>
          </w:p>
        </w:tc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UUID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可空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客户档案</w:t>
            </w:r>
          </w:p>
        </w:tc>
      </w:tr>
      <w:tr>
        <w:tc>
          <w:tcPr>
            <w:tcW w:type="dxa" w:w="204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occurred_at</w:t>
            </w:r>
          </w:p>
        </w:tc>
        <w:tc>
          <w:tcPr>
            <w:tcW w:type="dxa" w:w="204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timestamptz</w:t>
            </w:r>
          </w:p>
        </w:tc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非空</w:t>
            </w:r>
          </w:p>
        </w:tc>
        <w:tc>
          <w:tcPr>
            <w:tcW w:type="dxa" w:w="549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发生时间</w:t>
            </w:r>
          </w:p>
        </w:tc>
      </w:tr>
      <w:tr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received_at</w:t>
            </w:r>
          </w:p>
        </w:tc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timestamptz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非空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平台接收时间</w:t>
            </w:r>
          </w:p>
        </w:tc>
      </w:tr>
      <w:tr>
        <w:tc>
          <w:tcPr>
            <w:tcW w:type="dxa" w:w="204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context</w:t>
            </w:r>
          </w:p>
        </w:tc>
        <w:tc>
          <w:tcPr>
            <w:tcW w:type="dxa" w:w="204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jsonb</w:t>
            </w:r>
          </w:p>
        </w:tc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非空默认空</w:t>
            </w:r>
          </w:p>
        </w:tc>
        <w:tc>
          <w:tcPr>
            <w:tcW w:type="dxa" w:w="549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受控公共环境字段</w:t>
            </w:r>
          </w:p>
        </w:tc>
      </w:tr>
      <w:tr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properties</w:t>
            </w:r>
          </w:p>
        </w:tc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jsonb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非空默认空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按事件模式验证的属性</w:t>
            </w:r>
          </w:p>
        </w:tc>
      </w:tr>
      <w:tr>
        <w:tc>
          <w:tcPr>
            <w:tcW w:type="dxa" w:w="204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consent_snapshot</w:t>
            </w:r>
          </w:p>
        </w:tc>
        <w:tc>
          <w:tcPr>
            <w:tcW w:type="dxa" w:w="204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jsonb</w:t>
            </w:r>
          </w:p>
        </w:tc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非空</w:t>
            </w:r>
          </w:p>
        </w:tc>
        <w:tc>
          <w:tcPr>
            <w:tcW w:type="dxa" w:w="549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发生时用途状态和版本</w:t>
            </w:r>
          </w:p>
        </w:tc>
      </w:tr>
      <w:tr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processing_flags</w:t>
            </w:r>
          </w:p>
        </w:tc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integer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非空默认零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迟到、时钟偏差、采样等标记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索引与分区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events 以 occurred_at 按月起步；单月分区过大时调整为按日。分区键和租户键进入常用查询条件。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时间线索引采用 organization_id、contact_id、occurred_at 降序，并包含 event_name 和 session_id。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会话查询索引采用 site_id、visitor_id、started_at 降序；来源和活动指标由派生表提供，避免直接扫描事件 JSON。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properties 仅为已批准的少量通用检索字段建立表达式索引。高频属性升级为类型化列或派生表。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已过保留期的数据通过分区删除，避免逐行清理造成膨胀；删除任务另行处理指定主体。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数据保留建议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92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数据类别</w:t>
            </w:r>
          </w:p>
        </w:tc>
        <w:tc>
          <w:tcPr>
            <w:tcW w:type="dxa" w:w="226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建议默认期限</w:t>
            </w:r>
          </w:p>
        </w:tc>
        <w:tc>
          <w:tcPr>
            <w:tcW w:type="dxa" w:w="283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到期动作</w:t>
            </w:r>
          </w:p>
        </w:tc>
        <w:tc>
          <w:tcPr>
            <w:tcW w:type="dxa" w:w="487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说明</w:t>
            </w:r>
          </w:p>
        </w:tc>
      </w:tr>
      <w:tr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匿名原始事件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90 天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删除分区或匿名化</w:t>
            </w:r>
          </w:p>
        </w:tc>
        <w:tc>
          <w:tcPr>
            <w:tcW w:type="dxa" w:w="48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根据转化周期调整</w:t>
            </w:r>
          </w:p>
        </w:tc>
      </w:tr>
      <w:tr>
        <w:tc>
          <w:tcPr>
            <w:tcW w:type="dxa" w:w="192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已识别原始事件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180 天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删除或降粒度</w:t>
            </w:r>
          </w:p>
        </w:tc>
        <w:tc>
          <w:tcPr>
            <w:tcW w:type="dxa" w:w="487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需要业务和法务共同确认</w:t>
            </w:r>
          </w:p>
        </w:tc>
      </w:tr>
      <w:tr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聚合指标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13 至 25 个月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删除旧聚合</w:t>
            </w:r>
          </w:p>
        </w:tc>
        <w:tc>
          <w:tcPr>
            <w:tcW w:type="dxa" w:w="48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不应包含可逆个人身份</w:t>
            </w:r>
          </w:p>
        </w:tc>
      </w:tr>
      <w:tr>
        <w:tc>
          <w:tcPr>
            <w:tcW w:type="dxa" w:w="192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导出文件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7 天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对象存储自动删除</w:t>
            </w:r>
          </w:p>
        </w:tc>
        <w:tc>
          <w:tcPr>
            <w:tcW w:type="dxa" w:w="487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下载使用短期签名链接</w:t>
            </w:r>
          </w:p>
        </w:tc>
      </w:tr>
      <w:tr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应用日志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30 天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滚动删除</w:t>
            </w:r>
          </w:p>
        </w:tc>
        <w:tc>
          <w:tcPr>
            <w:tcW w:type="dxa" w:w="48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默认不记录事件正文</w:t>
            </w:r>
          </w:p>
        </w:tc>
      </w:tr>
      <w:tr>
        <w:tc>
          <w:tcPr>
            <w:tcW w:type="dxa" w:w="192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安全与审计日志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90 天或政策要求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归档后删除</w:t>
            </w:r>
          </w:p>
        </w:tc>
        <w:tc>
          <w:tcPr>
            <w:tcW w:type="dxa" w:w="487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防篡改并限制访问</w:t>
            </w:r>
          </w:p>
        </w:tc>
      </w:tr>
      <w:tr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备份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7 日增量 30 日周期基线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到期淘汰</w:t>
            </w:r>
          </w:p>
        </w:tc>
        <w:tc>
          <w:tcPr>
            <w:tcW w:type="dxa" w:w="48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最终由恢复目标决定</w:t>
            </w:r>
          </w:p>
        </w:tc>
      </w:tr>
    </w:tbl>
    <w:p>
      <w:pPr>
        <w:spacing w:after="20"/>
      </w:pP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八 API 与集成规范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接口清单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13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方法</w:t>
            </w:r>
          </w:p>
        </w:tc>
        <w:tc>
          <w:tcPr>
            <w:tcW w:type="dxa" w:w="368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路径</w:t>
            </w:r>
          </w:p>
        </w:tc>
        <w:tc>
          <w:tcPr>
            <w:tcW w:type="dxa" w:w="238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调用方</w:t>
            </w:r>
          </w:p>
        </w:tc>
        <w:tc>
          <w:tcPr>
            <w:tcW w:type="dxa" w:w="470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用途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POST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/v1/batch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JS SDK</w:t>
            </w:r>
          </w:p>
        </w:tc>
        <w:tc>
          <w:tcPr>
            <w:tcW w:type="dxa" w:w="47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批量接收事件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POST</w:t>
            </w:r>
          </w:p>
        </w:tc>
        <w:tc>
          <w:tcPr>
            <w:tcW w:type="dxa" w:w="36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/v1/identify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JS SDK 或业务后端</w:t>
            </w:r>
          </w:p>
        </w:tc>
        <w:tc>
          <w:tcPr>
            <w:tcW w:type="dxa" w:w="470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验证并绑定身份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POST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/v1/consent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JS SDK</w:t>
            </w:r>
          </w:p>
        </w:tc>
        <w:tc>
          <w:tcPr>
            <w:tcW w:type="dxa" w:w="47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记录同意变化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POST</w:t>
            </w:r>
          </w:p>
        </w:tc>
        <w:tc>
          <w:tcPr>
            <w:tcW w:type="dxa" w:w="36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/v1/server-events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业务后端</w:t>
            </w:r>
          </w:p>
        </w:tc>
        <w:tc>
          <w:tcPr>
            <w:tcW w:type="dxa" w:w="470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写入可信业务事件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GET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/v1/contacts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管理后台</w:t>
            </w:r>
          </w:p>
        </w:tc>
        <w:tc>
          <w:tcPr>
            <w:tcW w:type="dxa" w:w="47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筛选客户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GET</w:t>
            </w:r>
          </w:p>
        </w:tc>
        <w:tc>
          <w:tcPr>
            <w:tcW w:type="dxa" w:w="36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/v1/contacts/{id}/timeline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管理后台</w:t>
            </w:r>
          </w:p>
        </w:tc>
        <w:tc>
          <w:tcPr>
            <w:tcW w:type="dxa" w:w="470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客户时间线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GET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/v1/sessions/{id}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管理后台</w:t>
            </w:r>
          </w:p>
        </w:tc>
        <w:tc>
          <w:tcPr>
            <w:tcW w:type="dxa" w:w="47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会话详情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POST</w:t>
            </w:r>
          </w:p>
        </w:tc>
        <w:tc>
          <w:tcPr>
            <w:tcW w:type="dxa" w:w="36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/v1/exports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管理后台</w:t>
            </w:r>
          </w:p>
        </w:tc>
        <w:tc>
          <w:tcPr>
            <w:tcW w:type="dxa" w:w="470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创建受控导出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POST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/v1/privacy/requests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合规后台</w:t>
            </w:r>
          </w:p>
        </w:tc>
        <w:tc>
          <w:tcPr>
            <w:tcW w:type="dxa" w:w="47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创建访问或删除任务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GET</w:t>
            </w:r>
          </w:p>
        </w:tc>
        <w:tc>
          <w:tcPr>
            <w:tcW w:type="dxa" w:w="36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/v1/audit-logs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审计后台</w:t>
            </w:r>
          </w:p>
        </w:tc>
        <w:tc>
          <w:tcPr>
            <w:tcW w:type="dxa" w:w="470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查询管理操作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批量采集请求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>{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"batch_id": "7c4d...",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"sent_at": "2026-09-14T10:20:35Z",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"site_id": "site_public_id",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"events": [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  {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    "event_id": "018f...",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    "event_name": "page_view",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    "schema_version": 1,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    "occurred_at": "2026-09-14T10:20:31Z",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    "visitor_id": "b35a...",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    "session_id": "c81e...",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    "consent": {"version": "2026-09", "analytics": true},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    "context": {"path": "/pricing", "title": "Pricing"},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    "properties": {}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  }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 xml:space="preserve">  ]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>}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响应和错误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13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状态</w:t>
            </w:r>
          </w:p>
        </w:tc>
        <w:tc>
          <w:tcPr>
            <w:tcW w:type="dxa" w:w="226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错误码</w:t>
            </w:r>
          </w:p>
        </w:tc>
        <w:tc>
          <w:tcPr>
            <w:tcW w:type="dxa" w:w="464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含义</w:t>
            </w:r>
          </w:p>
        </w:tc>
        <w:tc>
          <w:tcPr>
            <w:tcW w:type="dxa" w:w="385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客户端动作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202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accepted</w:t>
            </w:r>
          </w:p>
        </w:tc>
        <w:tc>
          <w:tcPr>
            <w:tcW w:type="dxa" w:w="464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批次进入持久队列</w:t>
            </w:r>
          </w:p>
        </w:tc>
        <w:tc>
          <w:tcPr>
            <w:tcW w:type="dxa" w:w="385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不重试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400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invalid_payload</w:t>
            </w:r>
          </w:p>
        </w:tc>
        <w:tc>
          <w:tcPr>
            <w:tcW w:type="dxa" w:w="464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JSON 或公共字段错误</w:t>
            </w:r>
          </w:p>
        </w:tc>
        <w:tc>
          <w:tcPr>
            <w:tcW w:type="dxa" w:w="385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修正 SDK 或调用方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401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invalid_signature</w:t>
            </w:r>
          </w:p>
        </w:tc>
        <w:tc>
          <w:tcPr>
            <w:tcW w:type="dxa" w:w="464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服务端签名无效</w:t>
            </w:r>
          </w:p>
        </w:tc>
        <w:tc>
          <w:tcPr>
            <w:tcW w:type="dxa" w:w="385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停止并告警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403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origin_denied</w:t>
            </w:r>
          </w:p>
        </w:tc>
        <w:tc>
          <w:tcPr>
            <w:tcW w:type="dxa" w:w="464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域名或站点被禁用</w:t>
            </w:r>
          </w:p>
        </w:tc>
        <w:tc>
          <w:tcPr>
            <w:tcW w:type="dxa" w:w="385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停止并检查配置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409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schema_conflict</w:t>
            </w:r>
          </w:p>
        </w:tc>
        <w:tc>
          <w:tcPr>
            <w:tcW w:type="dxa" w:w="464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事件版本不兼容</w:t>
            </w:r>
          </w:p>
        </w:tc>
        <w:tc>
          <w:tcPr>
            <w:tcW w:type="dxa" w:w="385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升级事件定义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413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payload_too_large</w:t>
            </w:r>
          </w:p>
        </w:tc>
        <w:tc>
          <w:tcPr>
            <w:tcW w:type="dxa" w:w="464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请求超过限制</w:t>
            </w:r>
          </w:p>
        </w:tc>
        <w:tc>
          <w:tcPr>
            <w:tcW w:type="dxa" w:w="385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缩小批次后重试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422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event_rejected</w:t>
            </w:r>
          </w:p>
        </w:tc>
        <w:tc>
          <w:tcPr>
            <w:tcW w:type="dxa" w:w="464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字段违反事件模式或策略</w:t>
            </w:r>
          </w:p>
        </w:tc>
        <w:tc>
          <w:tcPr>
            <w:tcW w:type="dxa" w:w="385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丢弃问题字段并诊断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429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rate_limited</w:t>
            </w:r>
          </w:p>
        </w:tc>
        <w:tc>
          <w:tcPr>
            <w:tcW w:type="dxa" w:w="464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超过速率或配额</w:t>
            </w:r>
          </w:p>
        </w:tc>
        <w:tc>
          <w:tcPr>
            <w:tcW w:type="dxa" w:w="385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 Retry After 退避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500 503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temporary_failure</w:t>
            </w:r>
          </w:p>
        </w:tc>
        <w:tc>
          <w:tcPr>
            <w:tcW w:type="dxa" w:w="464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暂时不可用</w:t>
            </w:r>
          </w:p>
        </w:tc>
        <w:tc>
          <w:tcPr>
            <w:tcW w:type="dxa" w:w="385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指数退避并限制次数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鉴权与密钥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浏览器采集使用公开 site_id、允许域名、速率限制和请求上下文校验，不把公开标识视为秘密。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服务端事件使用 HMAC 或短期 JWT。签名覆盖时间戳、nonce、请求体摘要和路径，并设置五分钟以内的有效窗口。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管理 API 使用用户会话或 OAuth/OIDC，所有资源操作由 organization_id 和 RBAC 双重约束。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API 密钥只在创建时显示一次，数据库保存哈希或加密密文，支持作用域、到期、轮换和撤销。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限流和配额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75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维度</w:t>
            </w:r>
          </w:p>
        </w:tc>
        <w:tc>
          <w:tcPr>
            <w:tcW w:type="dxa" w:w="5273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初始策略</w:t>
            </w:r>
          </w:p>
        </w:tc>
        <w:tc>
          <w:tcPr>
            <w:tcW w:type="dxa" w:w="487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超限处理</w:t>
            </w:r>
          </w:p>
        </w:tc>
      </w:tr>
      <w:tr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IP</w:t>
            </w:r>
          </w:p>
        </w:tc>
        <w:tc>
          <w:tcPr>
            <w:tcW w:type="dxa" w:w="52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短窗口突发限制</w:t>
            </w:r>
          </w:p>
        </w:tc>
        <w:tc>
          <w:tcPr>
            <w:tcW w:type="dxa" w:w="48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429 并降低恶意流量优先级</w:t>
            </w:r>
          </w:p>
        </w:tc>
      </w:tr>
      <w:tr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站点</w:t>
            </w:r>
          </w:p>
        </w:tc>
        <w:tc>
          <w:tcPr>
            <w:tcW w:type="dxa" w:w="527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按事件每秒和每日配额</w:t>
            </w:r>
          </w:p>
        </w:tc>
        <w:tc>
          <w:tcPr>
            <w:tcW w:type="dxa" w:w="487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采样或拒绝并告警</w:t>
            </w:r>
          </w:p>
        </w:tc>
      </w:tr>
      <w:tr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组织</w:t>
            </w:r>
          </w:p>
        </w:tc>
        <w:tc>
          <w:tcPr>
            <w:tcW w:type="dxa" w:w="52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按套餐或合同配额</w:t>
            </w:r>
          </w:p>
        </w:tc>
        <w:tc>
          <w:tcPr>
            <w:tcW w:type="dxa" w:w="48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后台展示用量并通知管理员</w:t>
            </w:r>
          </w:p>
        </w:tc>
      </w:tr>
      <w:tr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服务端密钥</w:t>
            </w:r>
          </w:p>
        </w:tc>
        <w:tc>
          <w:tcPr>
            <w:tcW w:type="dxa" w:w="527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独立高可信配额</w:t>
            </w:r>
          </w:p>
        </w:tc>
        <w:tc>
          <w:tcPr>
            <w:tcW w:type="dxa" w:w="487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撤销异常密钥</w:t>
            </w:r>
          </w:p>
        </w:tc>
      </w:tr>
      <w:tr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导出</w:t>
            </w:r>
          </w:p>
        </w:tc>
        <w:tc>
          <w:tcPr>
            <w:tcW w:type="dxa" w:w="52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并发数和每日次数限制</w:t>
            </w:r>
          </w:p>
        </w:tc>
        <w:tc>
          <w:tcPr>
            <w:tcW w:type="dxa" w:w="48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排队并记录审计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Webhook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Webhook 首期只发送经批准的关键业务事件或隐私任务状态，不发送全部浏览事件。消息包含唯一 delivery_id、事件版本、时间戳和签名。平台记录尝试次数、响应码和下次时间，并提供重放。接收方必须以 delivery_id 幂等。连续失败达到阈值后暂停端点并通知管理员。</w:t>
      </w: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九 独立后台页面设计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信息架构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98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一级导航</w:t>
            </w:r>
          </w:p>
        </w:tc>
        <w:tc>
          <w:tcPr>
            <w:tcW w:type="dxa" w:w="340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页面</w:t>
            </w:r>
          </w:p>
        </w:tc>
        <w:tc>
          <w:tcPr>
            <w:tcW w:type="dxa" w:w="6520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主要内容</w:t>
            </w:r>
          </w:p>
        </w:tc>
      </w:tr>
      <w:tr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总览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业务总览 数据质量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访问、回访、来源、转化、接收健康</w:t>
            </w:r>
          </w:p>
        </w:tc>
      </w:tr>
      <w:tr>
        <w:tc>
          <w:tcPr>
            <w:tcW w:type="dxa" w:w="198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</w:t>
            </w:r>
          </w:p>
        </w:tc>
        <w:tc>
          <w:tcPr>
            <w:tcW w:type="dxa" w:w="340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客户列表 客户详情</w:t>
            </w:r>
          </w:p>
        </w:tc>
        <w:tc>
          <w:tcPr>
            <w:tcW w:type="dxa" w:w="652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身份、属性、标签、备注、会话和完整时间线</w:t>
            </w:r>
          </w:p>
        </w:tc>
      </w:tr>
      <w:tr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行为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会话 事件 页面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会话路径、事件检索、页面表现</w:t>
            </w:r>
          </w:p>
        </w:tc>
      </w:tr>
      <w:tr>
        <w:tc>
          <w:tcPr>
            <w:tcW w:type="dxa" w:w="198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分析</w:t>
            </w:r>
          </w:p>
        </w:tc>
        <w:tc>
          <w:tcPr>
            <w:tcW w:type="dxa" w:w="340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漏斗 留存 来源</w:t>
            </w:r>
          </w:p>
        </w:tc>
        <w:tc>
          <w:tcPr>
            <w:tcW w:type="dxa" w:w="652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按统一口径计算的聚合分析</w:t>
            </w:r>
          </w:p>
        </w:tc>
      </w:tr>
      <w:tr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数据管理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事件目录 调试流 导出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模式治理、实时验证和受控导出</w:t>
            </w:r>
          </w:p>
        </w:tc>
      </w:tr>
      <w:tr>
        <w:tc>
          <w:tcPr>
            <w:tcW w:type="dxa" w:w="198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隐私</w:t>
            </w:r>
          </w:p>
        </w:tc>
        <w:tc>
          <w:tcPr>
            <w:tcW w:type="dxa" w:w="340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同意 数据请求 保留</w:t>
            </w:r>
          </w:p>
        </w:tc>
        <w:tc>
          <w:tcPr>
            <w:tcW w:type="dxa" w:w="652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用途状态、访问导出、删除和期限</w:t>
            </w:r>
          </w:p>
        </w:tc>
      </w:tr>
      <w:tr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设置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站点 成员 角色 密钥 集成 审计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租户和系统配置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总览页面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70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区域</w:t>
            </w:r>
          </w:p>
        </w:tc>
        <w:tc>
          <w:tcPr>
            <w:tcW w:type="dxa" w:w="311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显示</w:t>
            </w:r>
          </w:p>
        </w:tc>
        <w:tc>
          <w:tcPr>
            <w:tcW w:type="dxa" w:w="283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交互</w:t>
            </w:r>
          </w:p>
        </w:tc>
        <w:tc>
          <w:tcPr>
            <w:tcW w:type="dxa" w:w="425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验收重点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日期与站点</w:t>
            </w:r>
          </w:p>
        </w:tc>
        <w:tc>
          <w:tcPr>
            <w:tcW w:type="dxa" w:w="311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时区 日期范围 环境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切换并保存偏好</w:t>
            </w:r>
          </w:p>
        </w:tc>
        <w:tc>
          <w:tcPr>
            <w:tcW w:type="dxa" w:w="42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所有指标使用同一过滤条件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核心指标</w:t>
            </w:r>
          </w:p>
        </w:tc>
        <w:tc>
          <w:tcPr>
            <w:tcW w:type="dxa" w:w="311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访客 会话 回访 有效停留 转化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查看趋势和定义</w:t>
            </w:r>
          </w:p>
        </w:tc>
        <w:tc>
          <w:tcPr>
            <w:tcW w:type="dxa" w:w="425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定义可追溯到明细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来源</w:t>
            </w:r>
          </w:p>
        </w:tc>
        <w:tc>
          <w:tcPr>
            <w:tcW w:type="dxa" w:w="311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渠道 来源 活动 落地页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下钻客户与会话</w:t>
            </w:r>
          </w:p>
        </w:tc>
        <w:tc>
          <w:tcPr>
            <w:tcW w:type="dxa" w:w="42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首次和最近触点口径明确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数据健康</w:t>
            </w:r>
          </w:p>
        </w:tc>
        <w:tc>
          <w:tcPr>
            <w:tcW w:type="dxa" w:w="311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接收量 拒绝率 迟到率 SDK 版本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进入诊断</w:t>
            </w:r>
          </w:p>
        </w:tc>
        <w:tc>
          <w:tcPr>
            <w:tcW w:type="dxa" w:w="425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异常有原因和处理建议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客户列表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列表支持姓名或显示名、已验证邮箱或手机号的脱敏显示、客户号、首次和最近访问、会话数、有效停留、最近来源、最近页面、转化、标签和负责人。筛选支持日期、站点、身份状态、标签、来源、访问次数、事件、页面和转化。批量操作仅允许添加标签和受控导出，删除必须进入隐私工作流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客户详情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791"/>
        <w:gridCol w:w="4791"/>
      </w:tblGrid>
      <w:tr>
        <w:trPr>
          <w:tblHeader w:val="true"/>
        </w:trPr>
        <w:tc>
          <w:tcPr>
            <w:tcW w:type="dxa" w:w="232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区域</w:t>
            </w:r>
          </w:p>
        </w:tc>
        <w:tc>
          <w:tcPr>
            <w:tcW w:type="dxa" w:w="907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字段与操作</w:t>
            </w:r>
          </w:p>
        </w:tc>
      </w:tr>
      <w:tr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档案摘要</w:t>
            </w:r>
          </w:p>
        </w:tc>
        <w:tc>
          <w:tcPr>
            <w:tcW w:type="dxa" w:w="90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contact_id 显示名 身份状态 首次与最近访问 累计会话和有效停留</w:t>
            </w:r>
          </w:p>
        </w:tc>
      </w:tr>
      <w:tr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身份</w:t>
            </w:r>
          </w:p>
        </w:tc>
        <w:tc>
          <w:tcPr>
            <w:tcW w:type="dxa" w:w="90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user_id 外部主键 脱敏联系方式 验证来源 合并关系和冲突</w:t>
            </w:r>
          </w:p>
        </w:tc>
      </w:tr>
      <w:tr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属性</w:t>
            </w:r>
          </w:p>
        </w:tc>
        <w:tc>
          <w:tcPr>
            <w:tcW w:type="dxa" w:w="90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来源 更新时间 可信等级 可见权限和历史版本</w:t>
            </w:r>
          </w:p>
        </w:tc>
      </w:tr>
      <w:tr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时间线</w:t>
            </w:r>
          </w:p>
        </w:tc>
        <w:tc>
          <w:tcPr>
            <w:tcW w:type="dxa" w:w="90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按日分组展示会话 页面 互动 表单 转化和服务端事件</w:t>
            </w:r>
          </w:p>
        </w:tc>
      </w:tr>
      <w:tr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会话路径</w:t>
            </w:r>
          </w:p>
        </w:tc>
        <w:tc>
          <w:tcPr>
            <w:tcW w:type="dxa" w:w="90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入口 来源 页面序列 单页停留 关键事件和退出</w:t>
            </w:r>
          </w:p>
        </w:tc>
      </w:tr>
      <w:tr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协作</w:t>
            </w:r>
          </w:p>
        </w:tc>
        <w:tc>
          <w:tcPr>
            <w:tcW w:type="dxa" w:w="90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标签 备注 负责人；所有修改写审计</w:t>
            </w:r>
          </w:p>
        </w:tc>
      </w:tr>
      <w:tr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治理</w:t>
            </w:r>
          </w:p>
        </w:tc>
        <w:tc>
          <w:tcPr>
            <w:tcW w:type="dxa" w:w="90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导出请求 删除请求 解除错误合并和处理记录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事件调试流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开发人员可选择测试环境和 visitor_id，查看最近事件的接收时间、模式版本、同意状态、清洗结果、拒绝原因和处理时延。调试流默认隐藏敏感字段，不允许在生产环境展示原始身份令牌。每条拒绝记录提供稳定错误码和字段路径。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事件目录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791"/>
        <w:gridCol w:w="4791"/>
      </w:tblGrid>
      <w:tr>
        <w:trPr>
          <w:tblHeader w:val="true"/>
        </w:trPr>
        <w:tc>
          <w:tcPr>
            <w:tcW w:type="dxa" w:w="226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能力</w:t>
            </w:r>
          </w:p>
        </w:tc>
        <w:tc>
          <w:tcPr>
            <w:tcW w:type="dxa" w:w="912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规则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登记</w:t>
            </w:r>
          </w:p>
        </w:tc>
        <w:tc>
          <w:tcPr>
            <w:tcW w:type="dxa" w:w="91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名称、描述、触发、属性、示例、目的、负责人、敏感级别和期限必须完整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审批</w:t>
            </w:r>
          </w:p>
        </w:tc>
        <w:tc>
          <w:tcPr>
            <w:tcW w:type="dxa" w:w="912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新增 P0 事件由产品、数据和隐私负责人审批后发布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版本</w:t>
            </w:r>
          </w:p>
        </w:tc>
        <w:tc>
          <w:tcPr>
            <w:tcW w:type="dxa" w:w="91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兼容新增字段提升次版本，破坏性变化建立新事件或主版本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质量</w:t>
            </w:r>
          </w:p>
        </w:tc>
        <w:tc>
          <w:tcPr>
            <w:tcW w:type="dxa" w:w="912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展示过去 24 小时数量、缺失率、类型错误、未知属性和 SDK 版本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停用</w:t>
            </w:r>
          </w:p>
        </w:tc>
        <w:tc>
          <w:tcPr>
            <w:tcW w:type="dxa" w:w="91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先标记弃用并给出迁移窗口，随后拒绝旧版本或仅归档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权限矩阵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369"/>
        <w:gridCol w:w="1369"/>
        <w:gridCol w:w="1369"/>
        <w:gridCol w:w="1369"/>
        <w:gridCol w:w="1369"/>
        <w:gridCol w:w="1369"/>
        <w:gridCol w:w="1369"/>
      </w:tblGrid>
      <w:tr>
        <w:trPr>
          <w:tblHeader w:val="true"/>
        </w:trPr>
        <w:tc>
          <w:tcPr>
            <w:tcW w:type="dxa" w:w="243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操作</w:t>
            </w:r>
          </w:p>
        </w:tc>
        <w:tc>
          <w:tcPr>
            <w:tcW w:type="dxa" w:w="147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管理员</w:t>
            </w:r>
          </w:p>
        </w:tc>
        <w:tc>
          <w:tcPr>
            <w:tcW w:type="dxa" w:w="147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运营</w:t>
            </w:r>
          </w:p>
        </w:tc>
        <w:tc>
          <w:tcPr>
            <w:tcW w:type="dxa" w:w="147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分析</w:t>
            </w:r>
          </w:p>
        </w:tc>
        <w:tc>
          <w:tcPr>
            <w:tcW w:type="dxa" w:w="147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开发</w:t>
            </w:r>
          </w:p>
        </w:tc>
        <w:tc>
          <w:tcPr>
            <w:tcW w:type="dxa" w:w="147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合规</w:t>
            </w:r>
          </w:p>
        </w:tc>
        <w:tc>
          <w:tcPr>
            <w:tcW w:type="dxa" w:w="147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审计</w:t>
            </w:r>
          </w:p>
        </w:tc>
      </w:tr>
      <w:tr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查看客户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是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是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脱敏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受限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是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受限</w:t>
            </w:r>
          </w:p>
        </w:tc>
      </w:tr>
      <w:tr>
        <w:tc>
          <w:tcPr>
            <w:tcW w:type="dxa" w:w="243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编辑标签备注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是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是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</w:tr>
      <w:tr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查看事件调试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是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受限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是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受限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</w:tr>
      <w:tr>
        <w:tc>
          <w:tcPr>
            <w:tcW w:type="dxa" w:w="243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管理 SDK 配置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是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是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</w:tr>
      <w:tr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导出客户数据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审批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申请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申请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审批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只读</w:t>
            </w:r>
          </w:p>
        </w:tc>
      </w:tr>
      <w:tr>
        <w:tc>
          <w:tcPr>
            <w:tcW w:type="dxa" w:w="243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执行删除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审批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执行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只读</w:t>
            </w:r>
          </w:p>
        </w:tc>
      </w:tr>
      <w:tr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管理成员密钥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是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受限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只读</w:t>
            </w:r>
          </w:p>
        </w:tc>
      </w:tr>
      <w:tr>
        <w:tc>
          <w:tcPr>
            <w:tcW w:type="dxa" w:w="243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查看审计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是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否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是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是</w:t>
            </w:r>
          </w:p>
        </w:tc>
      </w:tr>
    </w:tbl>
    <w:p>
      <w:pPr>
        <w:spacing w:after="20"/>
      </w:pP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十 指标与分析口径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基础指标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98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指标</w:t>
            </w:r>
          </w:p>
        </w:tc>
        <w:tc>
          <w:tcPr>
            <w:tcW w:type="dxa" w:w="5953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定义</w:t>
            </w:r>
          </w:p>
        </w:tc>
        <w:tc>
          <w:tcPr>
            <w:tcW w:type="dxa" w:w="351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排除与注意</w:t>
            </w:r>
          </w:p>
        </w:tc>
      </w:tr>
      <w:tr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访客数</w:t>
            </w:r>
          </w:p>
        </w:tc>
        <w:tc>
          <w:tcPr>
            <w:tcW w:type="dxa" w:w="595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范围内去重 visitor_id 或 contact_id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匿名和已识别口径不得混用</w:t>
            </w:r>
          </w:p>
        </w:tc>
      </w:tr>
      <w:tr>
        <w:tc>
          <w:tcPr>
            <w:tcW w:type="dxa" w:w="198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新访客</w:t>
            </w:r>
          </w:p>
        </w:tc>
        <w:tc>
          <w:tcPr>
            <w:tcW w:type="dxa" w:w="595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首次 seen_at 落在范围内的访客</w:t>
            </w:r>
          </w:p>
        </w:tc>
        <w:tc>
          <w:tcPr>
            <w:tcW w:type="dxa" w:w="351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存储清除会造成再次计为新访客</w:t>
            </w:r>
          </w:p>
        </w:tc>
      </w:tr>
      <w:tr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回访访客</w:t>
            </w:r>
          </w:p>
        </w:tc>
        <w:tc>
          <w:tcPr>
            <w:tcW w:type="dxa" w:w="595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范围前已有访问且范围内再次访问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跨设备仅在确定性身份后合并</w:t>
            </w:r>
          </w:p>
        </w:tc>
      </w:tr>
      <w:tr>
        <w:tc>
          <w:tcPr>
            <w:tcW w:type="dxa" w:w="198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会话数</w:t>
            </w:r>
          </w:p>
        </w:tc>
        <w:tc>
          <w:tcPr>
            <w:tcW w:type="dxa" w:w="595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符合会话超时规则的 session_id 数</w:t>
            </w:r>
          </w:p>
        </w:tc>
        <w:tc>
          <w:tcPr>
            <w:tcW w:type="dxa" w:w="351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机器人和内部流量按规则排除</w:t>
            </w:r>
          </w:p>
        </w:tc>
      </w:tr>
      <w:tr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页面浏览</w:t>
            </w:r>
          </w:p>
        </w:tc>
        <w:tc>
          <w:tcPr>
            <w:tcW w:type="dxa" w:w="595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有效 page_view 事件数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去除路由重复和预渲染</w:t>
            </w:r>
          </w:p>
        </w:tc>
      </w:tr>
      <w:tr>
        <w:tc>
          <w:tcPr>
            <w:tcW w:type="dxa" w:w="198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有效停留</w:t>
            </w:r>
          </w:p>
        </w:tc>
        <w:tc>
          <w:tcPr>
            <w:tcW w:type="dxa" w:w="595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可见且近期活跃时长总和</w:t>
            </w:r>
          </w:p>
        </w:tc>
        <w:tc>
          <w:tcPr>
            <w:tcW w:type="dxa" w:w="351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不能等同于页面打开时长</w:t>
            </w:r>
          </w:p>
        </w:tc>
      </w:tr>
      <w:tr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跳出会话</w:t>
            </w:r>
          </w:p>
        </w:tc>
        <w:tc>
          <w:tcPr>
            <w:tcW w:type="dxa" w:w="595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仅一次页面且无有效互动的会话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阈值和互动事件需要配置</w:t>
            </w:r>
          </w:p>
        </w:tc>
      </w:tr>
      <w:tr>
        <w:tc>
          <w:tcPr>
            <w:tcW w:type="dxa" w:w="198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转化率</w:t>
            </w:r>
          </w:p>
        </w:tc>
        <w:tc>
          <w:tcPr>
            <w:tcW w:type="dxa" w:w="595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满足转化条件的主体除以符合分母的主体</w:t>
            </w:r>
          </w:p>
        </w:tc>
        <w:tc>
          <w:tcPr>
            <w:tcW w:type="dxa" w:w="351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必须标明按访客、会话或客户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归因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首期提供首次触点和最近非直接触点两种口径，并在报表上明确选择。跨域、浏览器存储限制、广告平台规则和离线转化都会影响归因准确性。订单和收入以服务端业务事件为准，不能根据客户端按钮点击推断付款成功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漏斗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每一步指定事件名、属性条件、主体类型和最大完成窗口。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明确是否要求严格顺序、是否允许重复和是否允许跨会话。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分母、去重键和时区随结果保存，修改定义后产生新版本。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明细下钻受客户数据权限约束，聚合结果设置最小样本阈值。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留存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留存以首次满足起始事件的日期为第零日，按站点时区形成日或周分组。回访条件可以是任意访问或指定关键事件。匿名留存受浏览器清储存和多设备影响，报告需要显示可识别覆盖率，避免把标识丢失解释为真实流失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数据质量指标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226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指标</w:t>
            </w:r>
          </w:p>
        </w:tc>
        <w:tc>
          <w:tcPr>
            <w:tcW w:type="dxa" w:w="5953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计算</w:t>
            </w:r>
          </w:p>
        </w:tc>
        <w:tc>
          <w:tcPr>
            <w:tcW w:type="dxa" w:w="323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告警建议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接收成功率</w:t>
            </w:r>
          </w:p>
        </w:tc>
        <w:tc>
          <w:tcPr>
            <w:tcW w:type="dxa" w:w="595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accepted events 除以收到的 events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低于基线 1 个百分点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模式拒绝率</w:t>
            </w:r>
          </w:p>
        </w:tc>
        <w:tc>
          <w:tcPr>
            <w:tcW w:type="dxa" w:w="595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schema rejected 除以 received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超过 0.5% 或突增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重复率</w:t>
            </w:r>
          </w:p>
        </w:tc>
        <w:tc>
          <w:tcPr>
            <w:tcW w:type="dxa" w:w="595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duplicate event_id 除以 received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超过历史 P95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迟到率</w:t>
            </w:r>
          </w:p>
        </w:tc>
        <w:tc>
          <w:tcPr>
            <w:tcW w:type="dxa" w:w="595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超过水位线事件除以 stored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超过 2%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身份冲突率</w:t>
            </w:r>
          </w:p>
        </w:tc>
        <w:tc>
          <w:tcPr>
            <w:tcW w:type="dxa" w:w="595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冲突绑定除以 identify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超过 0.5%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处理延迟</w:t>
            </w:r>
          </w:p>
        </w:tc>
        <w:tc>
          <w:tcPr>
            <w:tcW w:type="dxa" w:w="595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queryable_at 减 occurred_at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P95 超过 60 秒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 错误率</w:t>
            </w:r>
          </w:p>
        </w:tc>
        <w:tc>
          <w:tcPr>
            <w:tcW w:type="dxa" w:w="595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采样错误会话除以 SDK 会话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版本发布后显著上升</w:t>
            </w:r>
          </w:p>
        </w:tc>
      </w:tr>
    </w:tbl>
    <w:p>
      <w:pPr>
        <w:spacing w:after="20"/>
      </w:pP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十一 安全设计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安全目标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任何租户只能访问自己的组织、站点、客户和事件。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浏览器公开标识泄露不能直接读取数据或写入可信业务事实。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管理账号、服务端密钥和导出文件被盗时，影响范围可被限制并快速撤销。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攻击者提交的 URL、属性、文本和 Webhook 地址不会形成 XSS、SQL 注入或 SSRF。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关键配置、导出、合并、删除和权限变更具备可追溯审计。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主要威胁与控制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215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威胁</w:t>
            </w:r>
          </w:p>
        </w:tc>
        <w:tc>
          <w:tcPr>
            <w:tcW w:type="dxa" w:w="6123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控制</w:t>
            </w:r>
          </w:p>
        </w:tc>
        <w:tc>
          <w:tcPr>
            <w:tcW w:type="dxa" w:w="317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验证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跨租户越权</w:t>
            </w:r>
          </w:p>
        </w:tc>
        <w:tc>
          <w:tcPr>
            <w:tcW w:type="dxa" w:w="61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租户上下文中间件 数据库行级策略 资源归属校验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IDOR 自动化用例和渗透测试</w:t>
            </w:r>
          </w:p>
        </w:tc>
      </w:tr>
      <w:tr>
        <w:tc>
          <w:tcPr>
            <w:tcW w:type="dxa" w:w="215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伪造可信事件</w:t>
            </w:r>
          </w:p>
        </w:tc>
        <w:tc>
          <w:tcPr>
            <w:tcW w:type="dxa" w:w="612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服务端签名 时间窗 nonce 重放缓存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修改正文和重放用例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采集端滥用</w:t>
            </w:r>
          </w:p>
        </w:tc>
        <w:tc>
          <w:tcPr>
            <w:tcW w:type="dxa" w:w="61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域名白名单 WAF 限流 配额 异常模型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压力与恶意请求测试</w:t>
            </w:r>
          </w:p>
        </w:tc>
      </w:tr>
      <w:tr>
        <w:tc>
          <w:tcPr>
            <w:tcW w:type="dxa" w:w="215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存储型 XSS</w:t>
            </w:r>
          </w:p>
        </w:tc>
        <w:tc>
          <w:tcPr>
            <w:tcW w:type="dxa" w:w="612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输入规范化 输出编码 CSP 禁止原始 HTML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安全扫描和人工测试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SQL 注入</w:t>
            </w:r>
          </w:p>
        </w:tc>
        <w:tc>
          <w:tcPr>
            <w:tcW w:type="dxa" w:w="61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参数化查询 ORM 安全规则 最小数据库权限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SAST DAST</w:t>
            </w:r>
          </w:p>
        </w:tc>
      </w:tr>
      <w:tr>
        <w:tc>
          <w:tcPr>
            <w:tcW w:type="dxa" w:w="215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SSRF</w:t>
            </w:r>
          </w:p>
        </w:tc>
        <w:tc>
          <w:tcPr>
            <w:tcW w:type="dxa" w:w="612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Webhook 域名和 IP 策略 DNS 重绑定防护 出站代理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私网和元数据地址用例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密钥泄露</w:t>
            </w:r>
          </w:p>
        </w:tc>
        <w:tc>
          <w:tcPr>
            <w:tcW w:type="dxa" w:w="61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秘密管理 短期凭证 轮换 扫描和撤销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轮换演练</w:t>
            </w:r>
          </w:p>
        </w:tc>
      </w:tr>
      <w:tr>
        <w:tc>
          <w:tcPr>
            <w:tcW w:type="dxa" w:w="215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批量导出泄露</w:t>
            </w:r>
          </w:p>
        </w:tc>
        <w:tc>
          <w:tcPr>
            <w:tcW w:type="dxa" w:w="612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审批 最小字段 水印或标识 短期链接 审计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权限和过期测试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供应链攻击</w:t>
            </w:r>
          </w:p>
        </w:tc>
        <w:tc>
          <w:tcPr>
            <w:tcW w:type="dxa" w:w="61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锁定依赖 SBOM 漏洞扫描 构建签名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发布门禁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认证与会话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管理后台优先接入企业 OIDC 或 SSO，并为管理员和合规角色强制多因素认证。会话 Cookie 使用 Secure、HttpOnly 和合理的 SameSite，敏感操作要求重新认证。密码登录如保留，必须使用合适的自适应哈希、登录限流、风险告警和恢复流程。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加密与密钥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87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对象</w:t>
            </w:r>
          </w:p>
        </w:tc>
        <w:tc>
          <w:tcPr>
            <w:tcW w:type="dxa" w:w="340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静态保护</w:t>
            </w:r>
          </w:p>
        </w:tc>
        <w:tc>
          <w:tcPr>
            <w:tcW w:type="dxa" w:w="272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传输保护</w:t>
            </w:r>
          </w:p>
        </w:tc>
        <w:tc>
          <w:tcPr>
            <w:tcW w:type="dxa" w:w="345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密钥管理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数据库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云盘和字段级加密</w:t>
            </w:r>
          </w:p>
        </w:tc>
        <w:tc>
          <w:tcPr>
            <w:tcW w:type="dxa" w:w="272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应用到数据库 TLS</w:t>
            </w:r>
          </w:p>
        </w:tc>
        <w:tc>
          <w:tcPr>
            <w:tcW w:type="dxa" w:w="34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KMS 分环境密钥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对象存储</w:t>
            </w:r>
          </w:p>
        </w:tc>
        <w:tc>
          <w:tcPr>
            <w:tcW w:type="dxa" w:w="340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服务端加密</w:t>
            </w:r>
          </w:p>
        </w:tc>
        <w:tc>
          <w:tcPr>
            <w:tcW w:type="dxa" w:w="272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HTTPS</w:t>
            </w:r>
          </w:p>
        </w:tc>
        <w:tc>
          <w:tcPr>
            <w:tcW w:type="dxa" w:w="345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存储密钥和短期签名 URL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联系方式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密文加检索哈希</w:t>
            </w:r>
          </w:p>
        </w:tc>
        <w:tc>
          <w:tcPr>
            <w:tcW w:type="dxa" w:w="272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HTTPS</w:t>
            </w:r>
          </w:p>
        </w:tc>
        <w:tc>
          <w:tcPr>
            <w:tcW w:type="dxa" w:w="34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用途分离密钥并定期轮换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API 密钥</w:t>
            </w:r>
          </w:p>
        </w:tc>
        <w:tc>
          <w:tcPr>
            <w:tcW w:type="dxa" w:w="340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哈希或包封加密</w:t>
            </w:r>
          </w:p>
        </w:tc>
        <w:tc>
          <w:tcPr>
            <w:tcW w:type="dxa" w:w="272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HTTPS</w:t>
            </w:r>
          </w:p>
        </w:tc>
        <w:tc>
          <w:tcPr>
            <w:tcW w:type="dxa" w:w="345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一次显示 作用域 到期 撤销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备份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加密备份</w:t>
            </w:r>
          </w:p>
        </w:tc>
        <w:tc>
          <w:tcPr>
            <w:tcW w:type="dxa" w:w="272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受控复制通道</w:t>
            </w:r>
          </w:p>
        </w:tc>
        <w:tc>
          <w:tcPr>
            <w:tcW w:type="dxa" w:w="34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恢复权限与生产权限分离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审计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审计日志至少记录登录结果、成员和角色变化、站点配置、事件模式、密钥生命周期、客户查看、导出、合并、删除、保留策略和系统管理操作。日志包含 actor、organization_id、action、resource、result、request_id、时间和粗粒度来源信息。审计数据采用追加写、访问隔离和完整性校验。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安全响应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24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级别</w:t>
            </w:r>
          </w:p>
        </w:tc>
        <w:tc>
          <w:tcPr>
            <w:tcW w:type="dxa" w:w="413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示例</w:t>
            </w:r>
          </w:p>
        </w:tc>
        <w:tc>
          <w:tcPr>
            <w:tcW w:type="dxa" w:w="226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响应目标</w:t>
            </w:r>
          </w:p>
        </w:tc>
        <w:tc>
          <w:tcPr>
            <w:tcW w:type="dxa" w:w="379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基本动作</w:t>
            </w:r>
          </w:p>
        </w:tc>
      </w:tr>
      <w:tr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413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大规模跨租户泄露或持续入侵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15 分钟确认</w:t>
            </w:r>
          </w:p>
        </w:tc>
        <w:tc>
          <w:tcPr>
            <w:tcW w:type="dxa" w:w="379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隔离 停止采集 吊销密钥 通知负责人 保全证据</w:t>
            </w:r>
          </w:p>
        </w:tc>
      </w:tr>
      <w:tr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413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重要账号被盗或大量导出异常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30 分钟确认</w:t>
            </w:r>
          </w:p>
        </w:tc>
        <w:tc>
          <w:tcPr>
            <w:tcW w:type="dxa" w:w="379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冻结账号 撤销会话 限制导出 调查范围</w:t>
            </w:r>
          </w:p>
        </w:tc>
      </w:tr>
      <w:tr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P2</w:t>
            </w:r>
          </w:p>
        </w:tc>
        <w:tc>
          <w:tcPr>
            <w:tcW w:type="dxa" w:w="413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单站点注入或部分数据错误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4 小时确认</w:t>
            </w:r>
          </w:p>
        </w:tc>
        <w:tc>
          <w:tcPr>
            <w:tcW w:type="dxa" w:w="379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停用配置 修复 重放或清理</w:t>
            </w:r>
          </w:p>
        </w:tc>
      </w:tr>
      <w:tr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P3</w:t>
            </w:r>
          </w:p>
        </w:tc>
        <w:tc>
          <w:tcPr>
            <w:tcW w:type="dxa" w:w="413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低风险漏洞或异常告警</w:t>
            </w:r>
          </w:p>
        </w:tc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下一工作日</w:t>
            </w:r>
          </w:p>
        </w:tc>
        <w:tc>
          <w:tcPr>
            <w:tcW w:type="dxa" w:w="379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登记 评估 排期修复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安全评审证据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238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证据</w:t>
            </w:r>
          </w:p>
        </w:tc>
        <w:tc>
          <w:tcPr>
            <w:tcW w:type="dxa" w:w="311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形成时间</w:t>
            </w:r>
          </w:p>
        </w:tc>
        <w:tc>
          <w:tcPr>
            <w:tcW w:type="dxa" w:w="6123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保存内容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威胁模型</w:t>
            </w:r>
          </w:p>
        </w:tc>
        <w:tc>
          <w:tcPr>
            <w:tcW w:type="dxa" w:w="311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架构冻结和重大变更</w:t>
            </w:r>
          </w:p>
        </w:tc>
        <w:tc>
          <w:tcPr>
            <w:tcW w:type="dxa" w:w="61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资产 信任边界 威胁 控制和负责人</w:t>
            </w:r>
          </w:p>
        </w:tc>
      </w:tr>
      <w:tr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依赖与制品清单</w:t>
            </w:r>
          </w:p>
        </w:tc>
        <w:tc>
          <w:tcPr>
            <w:tcW w:type="dxa" w:w="311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每次生产构建</w:t>
            </w:r>
          </w:p>
        </w:tc>
        <w:tc>
          <w:tcPr>
            <w:tcW w:type="dxa" w:w="612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依赖版本 SBOM 镜像摘要和签名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扫描与渗透报告</w:t>
            </w:r>
          </w:p>
        </w:tc>
        <w:tc>
          <w:tcPr>
            <w:tcW w:type="dxa" w:w="311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发布前和高风险变更</w:t>
            </w:r>
          </w:p>
        </w:tc>
        <w:tc>
          <w:tcPr>
            <w:tcW w:type="dxa" w:w="61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范围 发现 修复和复测结果</w:t>
            </w:r>
          </w:p>
        </w:tc>
      </w:tr>
      <w:tr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权限测试报告</w:t>
            </w:r>
          </w:p>
        </w:tc>
        <w:tc>
          <w:tcPr>
            <w:tcW w:type="dxa" w:w="311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每个发布候选版本</w:t>
            </w:r>
          </w:p>
        </w:tc>
        <w:tc>
          <w:tcPr>
            <w:tcW w:type="dxa" w:w="612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角色矩阵 租户隔离和导出用例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事件响应演练</w:t>
            </w:r>
          </w:p>
        </w:tc>
        <w:tc>
          <w:tcPr>
            <w:tcW w:type="dxa" w:w="311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至少每年及重大架构变更后</w:t>
            </w:r>
          </w:p>
        </w:tc>
        <w:tc>
          <w:tcPr>
            <w:tcW w:type="dxa" w:w="61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时间线 决策 通知和改进项</w:t>
            </w:r>
          </w:p>
        </w:tc>
      </w:tr>
    </w:tbl>
    <w:p>
      <w:pPr>
        <w:spacing w:after="20"/>
      </w:pP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十二 隐私与合规实施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实施原则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系统应围绕明确目的、最小必要、透明告知、分级同意、访问控制、保存期限和数据主体权利建设。最终法律适用、同意文本、跨境安排和保存期限必须由具备授权的法律或合规负责人确认，本方案不替代法律意见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数据清单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92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数据类别</w:t>
            </w:r>
          </w:p>
        </w:tc>
        <w:tc>
          <w:tcPr>
            <w:tcW w:type="dxa" w:w="300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示例</w:t>
            </w:r>
          </w:p>
        </w:tc>
        <w:tc>
          <w:tcPr>
            <w:tcW w:type="dxa" w:w="283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目的</w:t>
            </w:r>
          </w:p>
        </w:tc>
        <w:tc>
          <w:tcPr>
            <w:tcW w:type="dxa" w:w="481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建议控制</w:t>
            </w:r>
          </w:p>
        </w:tc>
      </w:tr>
      <w:tr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在线标识</w:t>
            </w:r>
          </w:p>
        </w:tc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visitor_id session_id IP 派生地域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连续访问与安全</w:t>
            </w:r>
          </w:p>
        </w:tc>
        <w:tc>
          <w:tcPr>
            <w:tcW w:type="dxa" w:w="481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同意 期限 IP 截断</w:t>
            </w:r>
          </w:p>
        </w:tc>
      </w:tr>
      <w:tr>
        <w:tc>
          <w:tcPr>
            <w:tcW w:type="dxa" w:w="192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行为数据</w:t>
            </w:r>
          </w:p>
        </w:tc>
        <w:tc>
          <w:tcPr>
            <w:tcW w:type="dxa" w:w="300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页面 点击 停留 表单状态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体验与转化分析</w:t>
            </w:r>
          </w:p>
        </w:tc>
        <w:tc>
          <w:tcPr>
            <w:tcW w:type="dxa" w:w="481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规则采集 屏蔽敏感区域</w:t>
            </w:r>
          </w:p>
        </w:tc>
      </w:tr>
      <w:tr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客户身份</w:t>
            </w:r>
          </w:p>
        </w:tc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user_id 邮箱 手机号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客户档案和服务</w:t>
            </w:r>
          </w:p>
        </w:tc>
        <w:tc>
          <w:tcPr>
            <w:tcW w:type="dxa" w:w="481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验证 加密 脱敏 权限</w:t>
            </w:r>
          </w:p>
        </w:tc>
      </w:tr>
      <w:tr>
        <w:tc>
          <w:tcPr>
            <w:tcW w:type="dxa" w:w="192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业务交易</w:t>
            </w:r>
          </w:p>
        </w:tc>
        <w:tc>
          <w:tcPr>
            <w:tcW w:type="dxa" w:w="300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订单号 金额 状态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转化和经营分析</w:t>
            </w:r>
          </w:p>
        </w:tc>
        <w:tc>
          <w:tcPr>
            <w:tcW w:type="dxa" w:w="481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服务端来源 最小字段</w:t>
            </w:r>
          </w:p>
        </w:tc>
      </w:tr>
      <w:tr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设备环境</w:t>
            </w:r>
          </w:p>
        </w:tc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浏览器 系统 语言 视口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兼容性分析</w:t>
            </w:r>
          </w:p>
        </w:tc>
        <w:tc>
          <w:tcPr>
            <w:tcW w:type="dxa" w:w="481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降低粒度 禁止默认指纹</w:t>
            </w:r>
          </w:p>
        </w:tc>
      </w:tr>
      <w:tr>
        <w:tc>
          <w:tcPr>
            <w:tcW w:type="dxa" w:w="192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管理审计</w:t>
            </w:r>
          </w:p>
        </w:tc>
        <w:tc>
          <w:tcPr>
            <w:tcW w:type="dxa" w:w="300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账号 操作 时间 结果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安全与责任追踪</w:t>
            </w:r>
          </w:p>
        </w:tc>
        <w:tc>
          <w:tcPr>
            <w:tcW w:type="dxa" w:w="481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隔离 防篡改 保存政策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同意管理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同意按 analytics、personalization、marketing 等目的分别记录，不用一个总开关代替全部用途。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记录同意版本、展示语言、来源、时间、visitor_id 或 contact_id、目的状态和证明引用。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撤回后立即停止相应用途采集，清除可移除的客户端标识，并触发服务端后续处理规则。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同意管理平台通过 SDK API 传入最终状态，SDK 不自行推断弹窗点击含义。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配置变更若扩大用途或字段，应更新告知并重新评估是否需要再次同意。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隐私保护默认值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791"/>
        <w:gridCol w:w="4791"/>
      </w:tblGrid>
      <w:tr>
        <w:trPr>
          <w:tblHeader w:val="true"/>
        </w:trPr>
        <w:tc>
          <w:tcPr>
            <w:tcW w:type="dxa" w:w="283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856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默认值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URL 查询参数</w:t>
            </w:r>
          </w:p>
        </w:tc>
        <w:tc>
          <w:tcPr>
            <w:tcW w:type="dxa" w:w="856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全部移除，仅允许经过批准的营销参数</w:t>
            </w:r>
          </w:p>
        </w:tc>
      </w:tr>
      <w:tr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页面片段</w:t>
            </w:r>
          </w:p>
        </w:tc>
        <w:tc>
          <w:tcPr>
            <w:tcW w:type="dxa" w:w="856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不采集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输入框值</w:t>
            </w:r>
          </w:p>
        </w:tc>
        <w:tc>
          <w:tcPr>
            <w:tcW w:type="dxa" w:w="856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不采集；逐字段白名单例外</w:t>
            </w:r>
          </w:p>
        </w:tc>
      </w:tr>
      <w:tr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页面文本</w:t>
            </w:r>
          </w:p>
        </w:tc>
        <w:tc>
          <w:tcPr>
            <w:tcW w:type="dxa" w:w="856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不采集原文；允许短枚举或配置令牌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精确位置</w:t>
            </w:r>
          </w:p>
        </w:tc>
        <w:tc>
          <w:tcPr>
            <w:tcW w:type="dxa" w:w="856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不请求</w:t>
            </w:r>
          </w:p>
        </w:tc>
      </w:tr>
      <w:tr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IP</w:t>
            </w:r>
          </w:p>
        </w:tc>
        <w:tc>
          <w:tcPr>
            <w:tcW w:type="dxa" w:w="856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接收端用于安全后截断或转换，原文短期保存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会话回放</w:t>
            </w:r>
          </w:p>
        </w:tc>
        <w:tc>
          <w:tcPr>
            <w:tcW w:type="dxa" w:w="856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关闭</w:t>
            </w:r>
          </w:p>
        </w:tc>
      </w:tr>
      <w:tr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设备指纹</w:t>
            </w:r>
          </w:p>
        </w:tc>
        <w:tc>
          <w:tcPr>
            <w:tcW w:type="dxa" w:w="856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关闭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内部员工流量</w:t>
            </w:r>
          </w:p>
        </w:tc>
        <w:tc>
          <w:tcPr>
            <w:tcW w:type="dxa" w:w="856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提供 IP 规则、Cookie 和账号规则排除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数据主体请求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70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阶段</w:t>
            </w:r>
          </w:p>
        </w:tc>
        <w:tc>
          <w:tcPr>
            <w:tcW w:type="dxa" w:w="181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责任</w:t>
            </w:r>
          </w:p>
        </w:tc>
        <w:tc>
          <w:tcPr>
            <w:tcW w:type="dxa" w:w="498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系统要求</w:t>
            </w:r>
          </w:p>
        </w:tc>
        <w:tc>
          <w:tcPr>
            <w:tcW w:type="dxa" w:w="289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证据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受理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合规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创建请求并记录法域和类型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request_id 时间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验证</w:t>
            </w:r>
          </w:p>
        </w:tc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合规</w:t>
            </w:r>
          </w:p>
        </w:tc>
        <w:tc>
          <w:tcPr>
            <w:tcW w:type="dxa" w:w="498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验证身份，避免向冒名者披露</w:t>
            </w:r>
          </w:p>
        </w:tc>
        <w:tc>
          <w:tcPr>
            <w:tcW w:type="dxa" w:w="289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验证方式和结果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检索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系统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解析全部身份和站点范围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查询范围和数量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审批</w:t>
            </w:r>
          </w:p>
        </w:tc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双人复核</w:t>
            </w:r>
          </w:p>
        </w:tc>
        <w:tc>
          <w:tcPr>
            <w:tcW w:type="dxa" w:w="498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检查例外、保留义务和影响</w:t>
            </w:r>
          </w:p>
        </w:tc>
        <w:tc>
          <w:tcPr>
            <w:tcW w:type="dxa" w:w="289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审批人和理由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执行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系统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导出、更正、解除关联或删除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任务日志和校验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交付</w:t>
            </w:r>
          </w:p>
        </w:tc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合规</w:t>
            </w:r>
          </w:p>
        </w:tc>
        <w:tc>
          <w:tcPr>
            <w:tcW w:type="dxa" w:w="498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短期安全链接或结果通知</w:t>
            </w:r>
          </w:p>
        </w:tc>
        <w:tc>
          <w:tcPr>
            <w:tcW w:type="dxa" w:w="289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下载或通知记录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关闭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合规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记录完成日期和剩余限制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关闭说明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跨境和第三方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启动前列出云厂商、CDN、错误监控、邮件、身份服务和其他处理方，记录其处理数据、地域、合同条款、子处理方和删除机制。若数据可能跨境，必须在部署前完成适用的评估、合同和告知同意要求。第三方脚本不能绕过平台的同意状态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上线前合规门禁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数据清单、处理目的、适用法域和角色责任已批准。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隐私政策、Cookie 告知、同意界面和撤回入口已通过评审。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敏感字段、URL 和 DOM 屏蔽规则已在真实页面逐项验证。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访问导出、删除、保留和备份限制完成演练。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处理方、跨境、未成年人和高敏感业务场景已完成专项结论。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数据保护影响评估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出现大规模监测、敏感个人信息、未成年人、精确位置、设备指纹、会话回放、自动化决策或跨境传输时，应在实施前进行专项影响评估。评估需要说明处理目的和必要性、数据流、主体影响、替代方案、控制措施、剩余风险和批准结论，并为后续变更设置重新评估条件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791"/>
        <w:gridCol w:w="4791"/>
      </w:tblGrid>
      <w:tr>
        <w:trPr>
          <w:tblHeader w:val="true"/>
        </w:trPr>
        <w:tc>
          <w:tcPr>
            <w:tcW w:type="dxa" w:w="238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评估项</w:t>
            </w:r>
          </w:p>
        </w:tc>
        <w:tc>
          <w:tcPr>
            <w:tcW w:type="dxa" w:w="924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需要回答的问题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必要性</w:t>
            </w:r>
          </w:p>
        </w:tc>
        <w:tc>
          <w:tcPr>
            <w:tcW w:type="dxa" w:w="924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是否能用更少字段、更低粒度或更短期限实现同一目标</w:t>
            </w:r>
          </w:p>
        </w:tc>
      </w:tr>
      <w:tr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主体影响</w:t>
            </w:r>
          </w:p>
        </w:tc>
        <w:tc>
          <w:tcPr>
            <w:tcW w:type="dxa" w:w="924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错误合并、泄露、画像和意外披露会造成什么具体影响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替代方案</w:t>
            </w:r>
          </w:p>
        </w:tc>
        <w:tc>
          <w:tcPr>
            <w:tcW w:type="dxa" w:w="924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服务端统计、聚合数据或抽样能否替代个人级跟踪</w:t>
            </w:r>
          </w:p>
        </w:tc>
      </w:tr>
      <w:tr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控制有效性</w:t>
            </w:r>
          </w:p>
        </w:tc>
        <w:tc>
          <w:tcPr>
            <w:tcW w:type="dxa" w:w="924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同意、屏蔽、权限、加密、审计和删除是否有验证证据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剩余风险</w:t>
            </w:r>
          </w:p>
        </w:tc>
        <w:tc>
          <w:tcPr>
            <w:tcW w:type="dxa" w:w="924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负责人是否接受，是否需要停止、缩小或增加控制</w:t>
            </w:r>
          </w:p>
        </w:tc>
      </w:tr>
    </w:tbl>
    <w:p>
      <w:pPr>
        <w:spacing w:after="20"/>
      </w:pP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十三 基础设施与发布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环境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81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环境</w:t>
            </w:r>
          </w:p>
        </w:tc>
        <w:tc>
          <w:tcPr>
            <w:tcW w:type="dxa" w:w="340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用途</w:t>
            </w:r>
          </w:p>
        </w:tc>
        <w:tc>
          <w:tcPr>
            <w:tcW w:type="dxa" w:w="283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数据规则</w:t>
            </w:r>
          </w:p>
        </w:tc>
        <w:tc>
          <w:tcPr>
            <w:tcW w:type="dxa" w:w="396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访问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本地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开发和单元测试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合成数据</w:t>
            </w:r>
          </w:p>
        </w:tc>
        <w:tc>
          <w:tcPr>
            <w:tcW w:type="dxa" w:w="396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开发人员</w:t>
            </w:r>
          </w:p>
        </w:tc>
      </w:tr>
      <w:tr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开发</w:t>
            </w:r>
          </w:p>
        </w:tc>
        <w:tc>
          <w:tcPr>
            <w:tcW w:type="dxa" w:w="340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持续集成和联调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合成数据</w:t>
            </w:r>
          </w:p>
        </w:tc>
        <w:tc>
          <w:tcPr>
            <w:tcW w:type="dxa" w:w="396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研发团队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测试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系统、浏览器和性能测试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脱敏或合成数据</w:t>
            </w:r>
          </w:p>
        </w:tc>
        <w:tc>
          <w:tcPr>
            <w:tcW w:type="dxa" w:w="396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研发与测试</w:t>
            </w:r>
          </w:p>
        </w:tc>
      </w:tr>
      <w:tr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预发布</w:t>
            </w:r>
          </w:p>
        </w:tc>
        <w:tc>
          <w:tcPr>
            <w:tcW w:type="dxa" w:w="340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生产同构、发布演练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最小化脱敏样本</w:t>
            </w:r>
          </w:p>
        </w:tc>
        <w:tc>
          <w:tcPr>
            <w:tcW w:type="dxa" w:w="396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受控团队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生产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真实业务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按政策处理</w:t>
            </w:r>
          </w:p>
        </w:tc>
        <w:tc>
          <w:tcPr>
            <w:tcW w:type="dxa" w:w="396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最小权限和审计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生产拓扑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87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区域</w:t>
            </w:r>
          </w:p>
        </w:tc>
        <w:tc>
          <w:tcPr>
            <w:tcW w:type="dxa" w:w="453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组件</w:t>
            </w:r>
          </w:p>
        </w:tc>
        <w:tc>
          <w:tcPr>
            <w:tcW w:type="dxa" w:w="5103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高可用建议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公网入口</w:t>
            </w:r>
          </w:p>
        </w:tc>
        <w:tc>
          <w:tcPr>
            <w:tcW w:type="dxa" w:w="45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CDN WAF 负载均衡</w:t>
            </w:r>
          </w:p>
        </w:tc>
        <w:tc>
          <w:tcPr>
            <w:tcW w:type="dxa" w:w="510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多可用区入口和健康检查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采集服务</w:t>
            </w:r>
          </w:p>
        </w:tc>
        <w:tc>
          <w:tcPr>
            <w:tcW w:type="dxa" w:w="453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无状态 Collector 实例</w:t>
            </w:r>
          </w:p>
        </w:tc>
        <w:tc>
          <w:tcPr>
            <w:tcW w:type="dxa" w:w="510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至少两个实例 自动扩缩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后台服务</w:t>
            </w:r>
          </w:p>
        </w:tc>
        <w:tc>
          <w:tcPr>
            <w:tcW w:type="dxa" w:w="45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Admin API Query API</w:t>
            </w:r>
          </w:p>
        </w:tc>
        <w:tc>
          <w:tcPr>
            <w:tcW w:type="dxa" w:w="510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与采集服务独立扩缩和限流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异步任务</w:t>
            </w:r>
          </w:p>
        </w:tc>
        <w:tc>
          <w:tcPr>
            <w:tcW w:type="dxa" w:w="453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Worker Scheduler</w:t>
            </w:r>
          </w:p>
        </w:tc>
        <w:tc>
          <w:tcPr>
            <w:tcW w:type="dxa" w:w="510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多实例消费者和租约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数据</w:t>
            </w:r>
          </w:p>
        </w:tc>
        <w:tc>
          <w:tcPr>
            <w:tcW w:type="dxa" w:w="45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托管 PostgreSQL Redis 对象存储</w:t>
            </w:r>
          </w:p>
        </w:tc>
        <w:tc>
          <w:tcPr>
            <w:tcW w:type="dxa" w:w="510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多可用区 数据库备份 缓存故障降级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运维</w:t>
            </w:r>
          </w:p>
        </w:tc>
        <w:tc>
          <w:tcPr>
            <w:tcW w:type="dxa" w:w="453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日志 指标 追踪 告警</w:t>
            </w:r>
          </w:p>
        </w:tc>
        <w:tc>
          <w:tcPr>
            <w:tcW w:type="dxa" w:w="510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独立账户或项目保存关键观测数据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域名建议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283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域名</w:t>
            </w:r>
          </w:p>
        </w:tc>
        <w:tc>
          <w:tcPr>
            <w:tcW w:type="dxa" w:w="340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用途</w:t>
            </w:r>
          </w:p>
        </w:tc>
        <w:tc>
          <w:tcPr>
            <w:tcW w:type="dxa" w:w="5273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安全策略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cdn.example.com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 静态文件</w:t>
            </w:r>
          </w:p>
        </w:tc>
        <w:tc>
          <w:tcPr>
            <w:tcW w:type="dxa" w:w="52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长缓存 版本不可变 SRI 可选</w:t>
            </w:r>
          </w:p>
        </w:tc>
      </w:tr>
      <w:tr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collect.example.com</w:t>
            </w:r>
          </w:p>
        </w:tc>
        <w:tc>
          <w:tcPr>
            <w:tcW w:type="dxa" w:w="340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浏览器采集</w:t>
            </w:r>
          </w:p>
        </w:tc>
        <w:tc>
          <w:tcPr>
            <w:tcW w:type="dxa" w:w="527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CORS 白名单 WAF 无 Cookie 管理会话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api.example.com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管理和服务端 API</w:t>
            </w:r>
          </w:p>
        </w:tc>
        <w:tc>
          <w:tcPr>
            <w:tcW w:type="dxa" w:w="52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强鉴权 限流 私密 CORS</w:t>
            </w:r>
          </w:p>
        </w:tc>
      </w:tr>
      <w:tr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app.example.com</w:t>
            </w:r>
          </w:p>
        </w:tc>
        <w:tc>
          <w:tcPr>
            <w:tcW w:type="dxa" w:w="340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独立管理后台</w:t>
            </w:r>
          </w:p>
        </w:tc>
        <w:tc>
          <w:tcPr>
            <w:tcW w:type="dxa" w:w="527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CSP HSTS 安全 Cookie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CI CD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提交门禁包括格式、类型、单元测试、依赖和秘密扫描。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合并后构建可追溯镜像和 SDK 产物，生成 SBOM，并以提交哈希标记。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数据库迁移必须向前兼容，应用发布与破坏性清理分为两个版本。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预发布完成冒烟、浏览器、数据对账和安全检查后，由授权人批准生产。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生产采用蓝绿或滚动灰度，监控错误率、延迟、队列积压和数据拒绝率。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回滚包括应用版本、SDK CDN 指针、远程配置和数据库兼容路径。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备份和恢复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226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对象</w:t>
            </w:r>
          </w:p>
        </w:tc>
        <w:tc>
          <w:tcPr>
            <w:tcW w:type="dxa" w:w="413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备份</w:t>
            </w:r>
          </w:p>
        </w:tc>
        <w:tc>
          <w:tcPr>
            <w:tcW w:type="dxa" w:w="272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目标基线</w:t>
            </w:r>
          </w:p>
        </w:tc>
        <w:tc>
          <w:tcPr>
            <w:tcW w:type="dxa" w:w="238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演练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PostgreSQL</w:t>
            </w:r>
          </w:p>
        </w:tc>
        <w:tc>
          <w:tcPr>
            <w:tcW w:type="dxa" w:w="413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持续归档加每日快照</w:t>
            </w:r>
          </w:p>
        </w:tc>
        <w:tc>
          <w:tcPr>
            <w:tcW w:type="dxa" w:w="272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RPO 15 分钟 RTO 4 小时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季度恢复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对象存储</w:t>
            </w:r>
          </w:p>
        </w:tc>
        <w:tc>
          <w:tcPr>
            <w:tcW w:type="dxa" w:w="413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版本或跨区域复制按风险启用</w:t>
            </w:r>
          </w:p>
        </w:tc>
        <w:tc>
          <w:tcPr>
            <w:tcW w:type="dxa" w:w="272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RPO 24 小时 RTO 8 小时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半年抽样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配置与密钥元数据</w:t>
            </w:r>
          </w:p>
        </w:tc>
        <w:tc>
          <w:tcPr>
            <w:tcW w:type="dxa" w:w="413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数据库备份加基础设施代码</w:t>
            </w:r>
          </w:p>
        </w:tc>
        <w:tc>
          <w:tcPr>
            <w:tcW w:type="dxa" w:w="272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与主库一致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随数据库演练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 构建产物</w:t>
            </w:r>
          </w:p>
        </w:tc>
        <w:tc>
          <w:tcPr>
            <w:tcW w:type="dxa" w:w="413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不可变对象和制品库</w:t>
            </w:r>
          </w:p>
        </w:tc>
        <w:tc>
          <w:tcPr>
            <w:tcW w:type="dxa" w:w="272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可即时回退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每次发布验证</w:t>
            </w:r>
          </w:p>
        </w:tc>
      </w:tr>
    </w:tbl>
    <w:p>
      <w:pPr>
        <w:spacing w:after="20"/>
      </w:pP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恢复目标是初始建议。生产目标必须结合业务损失评估、云能力和预算批准。恢复演练需要验证数据一致性、权限、密钥、队列和外部集成，而不是只确认数据库文件可打开。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监控和告警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81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层级</w:t>
            </w:r>
          </w:p>
        </w:tc>
        <w:tc>
          <w:tcPr>
            <w:tcW w:type="dxa" w:w="6123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关键指标</w:t>
            </w:r>
          </w:p>
        </w:tc>
        <w:tc>
          <w:tcPr>
            <w:tcW w:type="dxa" w:w="357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告警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</w:t>
            </w:r>
          </w:p>
        </w:tc>
        <w:tc>
          <w:tcPr>
            <w:tcW w:type="dxa" w:w="61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加载成功 错误 版本 队列丢弃</w:t>
            </w:r>
          </w:p>
        </w:tc>
        <w:tc>
          <w:tcPr>
            <w:tcW w:type="dxa" w:w="35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新版本错误率上升</w:t>
            </w:r>
          </w:p>
        </w:tc>
      </w:tr>
      <w:tr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入口</w:t>
            </w:r>
          </w:p>
        </w:tc>
        <w:tc>
          <w:tcPr>
            <w:tcW w:type="dxa" w:w="612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RPS 4xx 5xx P50 P95 P99</w:t>
            </w:r>
          </w:p>
        </w:tc>
        <w:tc>
          <w:tcPr>
            <w:tcW w:type="dxa" w:w="35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5xx 或延迟超过基线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队列</w:t>
            </w:r>
          </w:p>
        </w:tc>
        <w:tc>
          <w:tcPr>
            <w:tcW w:type="dxa" w:w="61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深度 最老消息年龄 重试 死信</w:t>
            </w:r>
          </w:p>
        </w:tc>
        <w:tc>
          <w:tcPr>
            <w:tcW w:type="dxa" w:w="35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积压时间超过 5 分钟</w:t>
            </w:r>
          </w:p>
        </w:tc>
      </w:tr>
      <w:tr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数据库</w:t>
            </w:r>
          </w:p>
        </w:tc>
        <w:tc>
          <w:tcPr>
            <w:tcW w:type="dxa" w:w="612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连接 CPU IO 锁 膨胀 分区</w:t>
            </w:r>
          </w:p>
        </w:tc>
        <w:tc>
          <w:tcPr>
            <w:tcW w:type="dxa" w:w="35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容量或锁等待异常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应用</w:t>
            </w:r>
          </w:p>
        </w:tc>
        <w:tc>
          <w:tcPr>
            <w:tcW w:type="dxa" w:w="61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查询时延 登录失败 导出任务</w:t>
            </w:r>
          </w:p>
        </w:tc>
        <w:tc>
          <w:tcPr>
            <w:tcW w:type="dxa" w:w="35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关键操作失败</w:t>
            </w:r>
          </w:p>
        </w:tc>
      </w:tr>
      <w:tr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数据质量</w:t>
            </w:r>
          </w:p>
        </w:tc>
        <w:tc>
          <w:tcPr>
            <w:tcW w:type="dxa" w:w="612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拒绝 重复 迟到 身份冲突</w:t>
            </w:r>
          </w:p>
        </w:tc>
        <w:tc>
          <w:tcPr>
            <w:tcW w:type="dxa" w:w="35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越过事件基线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安全</w:t>
            </w:r>
          </w:p>
        </w:tc>
        <w:tc>
          <w:tcPr>
            <w:tcW w:type="dxa" w:w="61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WAF 命中 密钥异常 越权 导出</w:t>
            </w:r>
          </w:p>
        </w:tc>
        <w:tc>
          <w:tcPr>
            <w:tcW w:type="dxa" w:w="35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高风险事件即时通知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发布失败和回滚条件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网站 JavaScript 错误率、首屏性能或关键转化相对基线出现显著回归。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采集 5xx、模式拒绝、重复或身份冲突超过发布门禁阈值。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队列持续积压，数据库写入或常用查询超过容量目标且无法快速缓解。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发现跨租户访问、敏感字段采集、错误身份合并或同意状态失效。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值班负责人无法在观察窗口内解释异常，应优先回退 SDK 或远程配置。</w:t>
      </w: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十四 容量与成本规划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容量公式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月事件量等于月访问会话数乘以每会话平均事件数，再乘以重试与诊断系数。存储量需要同时考虑事件正文、索引、派生表、WAL、备份和副本。首期应先在试点站点测出真实事件密度，再决定分区粒度和实例规格。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>monthly_events = monthly_sessions × events_per_session × 1.10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>primary_storage = monthly_events × avg_stored_bytes × retention_months</w:t>
      </w:r>
    </w:p>
    <w:p>
      <w:pPr>
        <w:spacing w:after="0"/>
        <w:ind w:left="283"/>
      </w:pPr>
      <w:r>
        <w:rPr>
          <w:rFonts w:ascii="Consolas" w:hAnsi="Consolas" w:eastAsia="Microsoft YaHei"/>
          <w:b w:val="0"/>
          <w:color w:val="000000"/>
          <w:sz w:val="16"/>
        </w:rPr>
        <w:t>total_storage ≈ primary_storage × index_factor × replica_and_backup_factor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规划场景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70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场景</w:t>
            </w:r>
          </w:p>
        </w:tc>
        <w:tc>
          <w:tcPr>
            <w:tcW w:type="dxa" w:w="192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月事件量</w:t>
            </w:r>
          </w:p>
        </w:tc>
        <w:tc>
          <w:tcPr>
            <w:tcW w:type="dxa" w:w="538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建议架构</w:t>
            </w:r>
          </w:p>
        </w:tc>
        <w:tc>
          <w:tcPr>
            <w:tcW w:type="dxa" w:w="306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重点验证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试点</w:t>
            </w:r>
          </w:p>
        </w:tc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10 万</w:t>
            </w:r>
          </w:p>
        </w:tc>
        <w:tc>
          <w:tcPr>
            <w:tcW w:type="dxa" w:w="538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单区域托管 PostgreSQL 小规格加 Redis</w:t>
            </w:r>
          </w:p>
        </w:tc>
        <w:tc>
          <w:tcPr>
            <w:tcW w:type="dxa" w:w="306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字段与轨迹准确性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基础生产</w:t>
            </w:r>
          </w:p>
        </w:tc>
        <w:tc>
          <w:tcPr>
            <w:tcW w:type="dxa" w:w="192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100 万</w:t>
            </w:r>
          </w:p>
        </w:tc>
        <w:tc>
          <w:tcPr>
            <w:tcW w:type="dxa" w:w="538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PostgreSQL 分区 加应用多实例</w:t>
            </w:r>
          </w:p>
        </w:tc>
        <w:tc>
          <w:tcPr>
            <w:tcW w:type="dxa" w:w="306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查询索引 备份和告警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增长</w:t>
            </w:r>
          </w:p>
        </w:tc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1000 万</w:t>
            </w:r>
          </w:p>
        </w:tc>
        <w:tc>
          <w:tcPr>
            <w:tcW w:type="dxa" w:w="538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独立 Collector 和 Worker 连接池治理</w:t>
            </w:r>
          </w:p>
        </w:tc>
        <w:tc>
          <w:tcPr>
            <w:tcW w:type="dxa" w:w="306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写入吞吐 聚合和保留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规模化</w:t>
            </w:r>
          </w:p>
        </w:tc>
        <w:tc>
          <w:tcPr>
            <w:tcW w:type="dxa" w:w="192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 亿及以上</w:t>
            </w:r>
          </w:p>
        </w:tc>
        <w:tc>
          <w:tcPr>
            <w:tcW w:type="dxa" w:w="538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评估 ClickHouse Kafka 冷热分层</w:t>
            </w:r>
          </w:p>
        </w:tc>
        <w:tc>
          <w:tcPr>
            <w:tcW w:type="dxa" w:w="306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成本 查询并发 重放和容灾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成本构成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87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470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主要驱动</w:t>
            </w:r>
          </w:p>
        </w:tc>
        <w:tc>
          <w:tcPr>
            <w:tcW w:type="dxa" w:w="623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控制措施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计算</w:t>
            </w:r>
          </w:p>
        </w:tc>
        <w:tc>
          <w:tcPr>
            <w:tcW w:type="dxa" w:w="47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采集峰值、Worker 和查询并发</w:t>
            </w:r>
          </w:p>
        </w:tc>
        <w:tc>
          <w:tcPr>
            <w:tcW w:type="dxa" w:w="623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无状态扩缩、查询限额、任务排队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数据库</w:t>
            </w:r>
          </w:p>
        </w:tc>
        <w:tc>
          <w:tcPr>
            <w:tcW w:type="dxa" w:w="470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事件、索引、WAL 和 IOPS</w:t>
            </w:r>
          </w:p>
        </w:tc>
        <w:tc>
          <w:tcPr>
            <w:tcW w:type="dxa" w:w="623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分区、保留、派生表和冷热分层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网络与 CDN</w:t>
            </w:r>
          </w:p>
        </w:tc>
        <w:tc>
          <w:tcPr>
            <w:tcW w:type="dxa" w:w="47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 下载、事件上行和导出</w:t>
            </w:r>
          </w:p>
        </w:tc>
        <w:tc>
          <w:tcPr>
            <w:tcW w:type="dxa" w:w="623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长缓存、批量压缩、导出期限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对象存储</w:t>
            </w:r>
          </w:p>
        </w:tc>
        <w:tc>
          <w:tcPr>
            <w:tcW w:type="dxa" w:w="470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导出、归档和备份</w:t>
            </w:r>
          </w:p>
        </w:tc>
        <w:tc>
          <w:tcPr>
            <w:tcW w:type="dxa" w:w="623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生命周期策略和压缩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监控</w:t>
            </w:r>
          </w:p>
        </w:tc>
        <w:tc>
          <w:tcPr>
            <w:tcW w:type="dxa" w:w="47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日志量、追踪采样和保存期</w:t>
            </w:r>
          </w:p>
        </w:tc>
        <w:tc>
          <w:tcPr>
            <w:tcW w:type="dxa" w:w="623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结构化日志、采样、禁止正文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人力</w:t>
            </w:r>
          </w:p>
        </w:tc>
        <w:tc>
          <w:tcPr>
            <w:tcW w:type="dxa" w:w="470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功能、合规、运维和支持</w:t>
            </w:r>
          </w:p>
        </w:tc>
        <w:tc>
          <w:tcPr>
            <w:tcW w:type="dxa" w:w="623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控制首期范围、复用托管服务</w:t>
            </w:r>
          </w:p>
        </w:tc>
      </w:tr>
    </w:tbl>
    <w:p>
      <w:pPr>
        <w:spacing w:after="20"/>
      </w:pP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本方案不提供绑定特定云厂商的报价。立项预算应让候选云厂商按试点、100 万、1000 万和 1 亿月事件四个场景报价，并分别列出数据库、网络、备份、监控和高可用成本。成本评审必须同时比较工程人力和恢复能力。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扩容触发器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数据库 CPU 或 IO 在业务峰值持续超过 70%，且优化后仍无法回落。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采集队列最老消息在正常负载持续超过 60 秒。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典型客户时间线或筛选查询 P95 连续一周超过目标。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单分区维护、备份或恢复时间超过允许窗口。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事件保留成本超过预算，且删除、压缩和索引优化已完成。</w:t>
      </w: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十五 项目组织与实施计划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团队配置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226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角色</w:t>
            </w:r>
          </w:p>
        </w:tc>
        <w:tc>
          <w:tcPr>
            <w:tcW w:type="dxa" w:w="181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建议投入</w:t>
            </w:r>
          </w:p>
        </w:tc>
        <w:tc>
          <w:tcPr>
            <w:tcW w:type="dxa" w:w="867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主要责任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产品负责人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 人</w:t>
            </w:r>
          </w:p>
        </w:tc>
        <w:tc>
          <w:tcPr>
            <w:tcW w:type="dxa" w:w="86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范围、流程、指标、验收和业务决策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技术负责人</w:t>
            </w:r>
          </w:p>
        </w:tc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 人</w:t>
            </w:r>
          </w:p>
        </w:tc>
        <w:tc>
          <w:tcPr>
            <w:tcW w:type="dxa" w:w="86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架构、边界、安全、代码质量和发布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前端与 SDK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 至 2 人</w:t>
            </w:r>
          </w:p>
        </w:tc>
        <w:tc>
          <w:tcPr>
            <w:tcW w:type="dxa" w:w="86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JS SDK、浏览器兼容和管理后台前端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后端</w:t>
            </w:r>
          </w:p>
        </w:tc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2 人</w:t>
            </w:r>
          </w:p>
        </w:tc>
        <w:tc>
          <w:tcPr>
            <w:tcW w:type="dxa" w:w="86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接收、身份、事件、查询、隐私和集成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测试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1 人</w:t>
            </w:r>
          </w:p>
        </w:tc>
        <w:tc>
          <w:tcPr>
            <w:tcW w:type="dxa" w:w="86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自动化、浏览器、数据对账、性能和发布验证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运维或平台</w:t>
            </w:r>
          </w:p>
        </w:tc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0.5 人</w:t>
            </w:r>
          </w:p>
        </w:tc>
        <w:tc>
          <w:tcPr>
            <w:tcW w:type="dxa" w:w="86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环境、CI CD、监控、备份和演练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安全与合规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按阶段参与</w:t>
            </w:r>
          </w:p>
        </w:tc>
        <w:tc>
          <w:tcPr>
            <w:tcW w:type="dxa" w:w="86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威胁建模、评审、测试和上线批准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设计</w:t>
            </w:r>
          </w:p>
        </w:tc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0.5 人</w:t>
            </w:r>
          </w:p>
        </w:tc>
        <w:tc>
          <w:tcPr>
            <w:tcW w:type="dxa" w:w="86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后台信息架构、交互和视觉规范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责任矩阵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916"/>
        <w:gridCol w:w="1916"/>
        <w:gridCol w:w="1916"/>
        <w:gridCol w:w="1916"/>
        <w:gridCol w:w="1916"/>
      </w:tblGrid>
      <w:tr>
        <w:trPr>
          <w:tblHeader w:val="true"/>
        </w:trPr>
        <w:tc>
          <w:tcPr>
            <w:tcW w:type="dxa" w:w="283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工作</w:t>
            </w:r>
          </w:p>
        </w:tc>
        <w:tc>
          <w:tcPr>
            <w:tcW w:type="dxa" w:w="192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负责</w:t>
            </w:r>
          </w:p>
        </w:tc>
        <w:tc>
          <w:tcPr>
            <w:tcW w:type="dxa" w:w="238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批准</w:t>
            </w:r>
          </w:p>
        </w:tc>
        <w:tc>
          <w:tcPr>
            <w:tcW w:type="dxa" w:w="294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协作</w:t>
            </w:r>
          </w:p>
        </w:tc>
        <w:tc>
          <w:tcPr>
            <w:tcW w:type="dxa" w:w="192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知会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范围与优先级</w:t>
            </w:r>
          </w:p>
        </w:tc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产品负责人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项目发起人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技术 合规</w:t>
            </w:r>
          </w:p>
        </w:tc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团队</w:t>
            </w:r>
          </w:p>
        </w:tc>
      </w:tr>
      <w:tr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事件和指标口径</w:t>
            </w:r>
          </w:p>
        </w:tc>
        <w:tc>
          <w:tcPr>
            <w:tcW w:type="dxa" w:w="192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产品 数据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产品负责人</w:t>
            </w:r>
          </w:p>
        </w:tc>
        <w:tc>
          <w:tcPr>
            <w:tcW w:type="dxa" w:w="294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研发 运营</w:t>
            </w:r>
          </w:p>
        </w:tc>
        <w:tc>
          <w:tcPr>
            <w:tcW w:type="dxa" w:w="192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测试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架构与数据模型</w:t>
            </w:r>
          </w:p>
        </w:tc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技术负责人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技术负责人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后端 运维 安全</w:t>
            </w:r>
          </w:p>
        </w:tc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产品</w:t>
            </w:r>
          </w:p>
        </w:tc>
      </w:tr>
      <w:tr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隐私与同意</w:t>
            </w:r>
          </w:p>
        </w:tc>
        <w:tc>
          <w:tcPr>
            <w:tcW w:type="dxa" w:w="192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合规负责人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授权法务或业务负责人</w:t>
            </w:r>
          </w:p>
        </w:tc>
        <w:tc>
          <w:tcPr>
            <w:tcW w:type="dxa" w:w="294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产品 技术</w:t>
            </w:r>
          </w:p>
        </w:tc>
        <w:tc>
          <w:tcPr>
            <w:tcW w:type="dxa" w:w="192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团队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SDK 和后台交付</w:t>
            </w:r>
          </w:p>
        </w:tc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研发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技术负责人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产品 测试</w:t>
            </w:r>
          </w:p>
        </w:tc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运营</w:t>
            </w:r>
          </w:p>
        </w:tc>
      </w:tr>
      <w:tr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测试与质量</w:t>
            </w:r>
          </w:p>
        </w:tc>
        <w:tc>
          <w:tcPr>
            <w:tcW w:type="dxa" w:w="192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测试负责人</w:t>
            </w:r>
          </w:p>
        </w:tc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产品和技术负责人</w:t>
            </w:r>
          </w:p>
        </w:tc>
        <w:tc>
          <w:tcPr>
            <w:tcW w:type="dxa" w:w="294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研发 安全</w:t>
            </w:r>
          </w:p>
        </w:tc>
        <w:tc>
          <w:tcPr>
            <w:tcW w:type="dxa" w:w="192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团队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生产发布</w:t>
            </w:r>
          </w:p>
        </w:tc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运维负责人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产品和技术负责人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研发 测试</w:t>
            </w:r>
          </w:p>
        </w:tc>
        <w:tc>
          <w:tcPr>
            <w:tcW w:type="dxa" w:w="192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利益相关方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十六周计划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850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周</w:t>
            </w:r>
          </w:p>
        </w:tc>
        <w:tc>
          <w:tcPr>
            <w:tcW w:type="dxa" w:w="425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工作重点</w:t>
            </w:r>
          </w:p>
        </w:tc>
        <w:tc>
          <w:tcPr>
            <w:tcW w:type="dxa" w:w="368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产出</w:t>
            </w:r>
          </w:p>
        </w:tc>
        <w:tc>
          <w:tcPr>
            <w:tcW w:type="dxa" w:w="323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退出条件</w:t>
            </w:r>
          </w:p>
        </w:tc>
      </w:tr>
      <w:tr>
        <w:tc>
          <w:tcPr>
            <w:tcW w:type="dxa" w:w="85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1</w:t>
            </w:r>
          </w:p>
        </w:tc>
        <w:tc>
          <w:tcPr>
            <w:tcW w:type="dxa" w:w="42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启动 范围 试点 指标和法域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项目章程 决策清单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负责人和范围批准</w:t>
            </w:r>
          </w:p>
        </w:tc>
      </w:tr>
      <w:tr>
        <w:tc>
          <w:tcPr>
            <w:tcW w:type="dxa" w:w="85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2</w:t>
            </w:r>
          </w:p>
        </w:tc>
        <w:tc>
          <w:tcPr>
            <w:tcW w:type="dxa" w:w="425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用户流程 事件盘点 数据清单</w:t>
            </w:r>
          </w:p>
        </w:tc>
        <w:tc>
          <w:tcPr>
            <w:tcW w:type="dxa" w:w="36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PRD 事件目录初稿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P0 事件和字段确认</w:t>
            </w:r>
          </w:p>
        </w:tc>
      </w:tr>
      <w:tr>
        <w:tc>
          <w:tcPr>
            <w:tcW w:type="dxa" w:w="85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3</w:t>
            </w:r>
          </w:p>
        </w:tc>
        <w:tc>
          <w:tcPr>
            <w:tcW w:type="dxa" w:w="42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架构 威胁建模 数据模型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架构和安全评审稿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关键技术决策通过</w:t>
            </w:r>
          </w:p>
        </w:tc>
      </w:tr>
      <w:tr>
        <w:tc>
          <w:tcPr>
            <w:tcW w:type="dxa" w:w="85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4</w:t>
            </w:r>
          </w:p>
        </w:tc>
        <w:tc>
          <w:tcPr>
            <w:tcW w:type="dxa" w:w="425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SDK 协议 API 契约 原型</w:t>
            </w:r>
          </w:p>
        </w:tc>
        <w:tc>
          <w:tcPr>
            <w:tcW w:type="dxa" w:w="36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SDK 和 API 规范 后台原型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接口冻结基线</w:t>
            </w:r>
          </w:p>
        </w:tc>
      </w:tr>
      <w:tr>
        <w:tc>
          <w:tcPr>
            <w:tcW w:type="dxa" w:w="85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5</w:t>
            </w:r>
          </w:p>
        </w:tc>
        <w:tc>
          <w:tcPr>
            <w:tcW w:type="dxa" w:w="42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租户 权限 站点 SDK loader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基础工程和环境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CI 可部署</w:t>
            </w:r>
          </w:p>
        </w:tc>
      </w:tr>
      <w:tr>
        <w:tc>
          <w:tcPr>
            <w:tcW w:type="dxa" w:w="85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6</w:t>
            </w:r>
          </w:p>
        </w:tc>
        <w:tc>
          <w:tcPr>
            <w:tcW w:type="dxa" w:w="425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身份 会话 page_view 批量接收</w:t>
            </w:r>
          </w:p>
        </w:tc>
        <w:tc>
          <w:tcPr>
            <w:tcW w:type="dxa" w:w="36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首条事件闭环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调试流可见</w:t>
            </w:r>
          </w:p>
        </w:tc>
      </w:tr>
      <w:tr>
        <w:tc>
          <w:tcPr>
            <w:tcW w:type="dxa" w:w="85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7</w:t>
            </w:r>
          </w:p>
        </w:tc>
        <w:tc>
          <w:tcPr>
            <w:tcW w:type="dxa" w:w="42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有效停留 SPA 点击规则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SDK alpha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浏览器基础矩阵通过</w:t>
            </w:r>
          </w:p>
        </w:tc>
      </w:tr>
      <w:tr>
        <w:tc>
          <w:tcPr>
            <w:tcW w:type="dxa" w:w="85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8</w:t>
            </w:r>
          </w:p>
        </w:tc>
        <w:tc>
          <w:tcPr>
            <w:tcW w:type="dxa" w:w="425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客户 会话 时间线</w:t>
            </w:r>
          </w:p>
        </w:tc>
        <w:tc>
          <w:tcPr>
            <w:tcW w:type="dxa" w:w="36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后台核心页面 alpha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跨天轨迹可查询</w:t>
            </w:r>
          </w:p>
        </w:tc>
      </w:tr>
      <w:tr>
        <w:tc>
          <w:tcPr>
            <w:tcW w:type="dxa" w:w="85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9</w:t>
            </w:r>
          </w:p>
        </w:tc>
        <w:tc>
          <w:tcPr>
            <w:tcW w:type="dxa" w:w="42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identify 合并 冲突 reset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身份闭环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多账户用例通过</w:t>
            </w:r>
          </w:p>
        </w:tc>
      </w:tr>
      <w:tr>
        <w:tc>
          <w:tcPr>
            <w:tcW w:type="dxa" w:w="85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10</w:t>
            </w:r>
          </w:p>
        </w:tc>
        <w:tc>
          <w:tcPr>
            <w:tcW w:type="dxa" w:w="425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事件治理 数据质量 导出</w:t>
            </w:r>
          </w:p>
        </w:tc>
        <w:tc>
          <w:tcPr>
            <w:tcW w:type="dxa" w:w="36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治理页面 beta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错误可定位</w:t>
            </w:r>
          </w:p>
        </w:tc>
      </w:tr>
      <w:tr>
        <w:tc>
          <w:tcPr>
            <w:tcW w:type="dxa" w:w="85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11</w:t>
            </w:r>
          </w:p>
        </w:tc>
        <w:tc>
          <w:tcPr>
            <w:tcW w:type="dxa" w:w="42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同意 保留 访问和删除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隐私工作台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隐私演练通过</w:t>
            </w:r>
          </w:p>
        </w:tc>
      </w:tr>
      <w:tr>
        <w:tc>
          <w:tcPr>
            <w:tcW w:type="dxa" w:w="85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12</w:t>
            </w:r>
          </w:p>
        </w:tc>
        <w:tc>
          <w:tcPr>
            <w:tcW w:type="dxa" w:w="425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总览 来源 漏斗 留存</w:t>
            </w:r>
          </w:p>
        </w:tc>
        <w:tc>
          <w:tcPr>
            <w:tcW w:type="dxa" w:w="36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分析 beta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指标与明细对账</w:t>
            </w:r>
          </w:p>
        </w:tc>
      </w:tr>
      <w:tr>
        <w:tc>
          <w:tcPr>
            <w:tcW w:type="dxa" w:w="85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13</w:t>
            </w:r>
          </w:p>
        </w:tc>
        <w:tc>
          <w:tcPr>
            <w:tcW w:type="dxa" w:w="42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安全 性能 浏览器和恢复测试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测试报告与修复清单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无阻断级缺陷</w:t>
            </w:r>
          </w:p>
        </w:tc>
      </w:tr>
      <w:tr>
        <w:tc>
          <w:tcPr>
            <w:tcW w:type="dxa" w:w="85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14</w:t>
            </w:r>
          </w:p>
        </w:tc>
        <w:tc>
          <w:tcPr>
            <w:tcW w:type="dxa" w:w="425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试点接入 数据校准 培训</w:t>
            </w:r>
          </w:p>
        </w:tc>
        <w:tc>
          <w:tcPr>
            <w:tcW w:type="dxa" w:w="36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试点版本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连续运行 3 个工作日</w:t>
            </w:r>
          </w:p>
        </w:tc>
      </w:tr>
      <w:tr>
        <w:tc>
          <w:tcPr>
            <w:tcW w:type="dxa" w:w="85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15</w:t>
            </w:r>
          </w:p>
        </w:tc>
        <w:tc>
          <w:tcPr>
            <w:tcW w:type="dxa" w:w="42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灰度 扩容和告警调整</w:t>
            </w:r>
          </w:p>
        </w:tc>
        <w:tc>
          <w:tcPr>
            <w:tcW w:type="dxa" w:w="36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生产候选版本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上线门禁全部通过</w:t>
            </w:r>
          </w:p>
        </w:tc>
      </w:tr>
      <w:tr>
        <w:tc>
          <w:tcPr>
            <w:tcW w:type="dxa" w:w="85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16</w:t>
            </w:r>
          </w:p>
        </w:tc>
        <w:tc>
          <w:tcPr>
            <w:tcW w:type="dxa" w:w="425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正式上线 观察和复盘</w:t>
            </w:r>
          </w:p>
        </w:tc>
        <w:tc>
          <w:tcPr>
            <w:tcW w:type="dxa" w:w="36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生产发布和运营交接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验收签字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关键依赖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试点网站需要提供代码发布窗口、登录回调、表单和关键转化的技术负责人。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产品与运营在第二周前确认事件和指标，不在研发中期持续扩大自动采集范围。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合规负责人在第四周前确认同意模式、字段和保存期限，避免上线前返工。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云账号、域名、证书、OIDC、邮件和秘密管理在第五周前可用。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订单、CRM 或账号服务在第九周前提供服务端事件和身份接口。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变更控制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新增需求先说明业务目标、事件量、数据类别、安全与合规影响、工作量和里程碑影响。产品负责人决定是否进入首期；涉及敏感数据、身份合并、跨境、权限或保存期限的变更必须由技术和合规共同批准。已冻结的 API 或事件语义通过新版本变更，不直接覆盖。</w:t>
      </w: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十六 测试方案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测试层次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81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层次</w:t>
            </w:r>
          </w:p>
        </w:tc>
        <w:tc>
          <w:tcPr>
            <w:tcW w:type="dxa" w:w="623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范围</w:t>
            </w:r>
          </w:p>
        </w:tc>
        <w:tc>
          <w:tcPr>
            <w:tcW w:type="dxa" w:w="357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门禁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单元</w:t>
            </w:r>
          </w:p>
        </w:tc>
        <w:tc>
          <w:tcPr>
            <w:tcW w:type="dxa" w:w="623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 模块、会话算法、清洗、身份规则、权限判断</w:t>
            </w:r>
          </w:p>
        </w:tc>
        <w:tc>
          <w:tcPr>
            <w:tcW w:type="dxa" w:w="35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关键模块覆盖和边界用例通过</w:t>
            </w:r>
          </w:p>
        </w:tc>
      </w:tr>
      <w:tr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契约</w:t>
            </w:r>
          </w:p>
        </w:tc>
        <w:tc>
          <w:tcPr>
            <w:tcW w:type="dxa" w:w="623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 到 Collector、服务端 API、Webhook</w:t>
            </w:r>
          </w:p>
        </w:tc>
        <w:tc>
          <w:tcPr>
            <w:tcW w:type="dxa" w:w="35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模式兼容和错误码稳定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集成</w:t>
            </w:r>
          </w:p>
        </w:tc>
        <w:tc>
          <w:tcPr>
            <w:tcW w:type="dxa" w:w="623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队列、数据库、缓存、对象存储和身份服务</w:t>
            </w:r>
          </w:p>
        </w:tc>
        <w:tc>
          <w:tcPr>
            <w:tcW w:type="dxa" w:w="35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失败重试和幂等通过</w:t>
            </w:r>
          </w:p>
        </w:tc>
      </w:tr>
      <w:tr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端到端</w:t>
            </w:r>
          </w:p>
        </w:tc>
        <w:tc>
          <w:tcPr>
            <w:tcW w:type="dxa" w:w="623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首次访问、回访、登录、转化、导出、删除</w:t>
            </w:r>
          </w:p>
        </w:tc>
        <w:tc>
          <w:tcPr>
            <w:tcW w:type="dxa" w:w="35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用户流程与数据一致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浏览器</w:t>
            </w:r>
          </w:p>
        </w:tc>
        <w:tc>
          <w:tcPr>
            <w:tcW w:type="dxa" w:w="623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桌面和移动主流浏览器、SPA 和多标签页</w:t>
            </w:r>
          </w:p>
        </w:tc>
        <w:tc>
          <w:tcPr>
            <w:tcW w:type="dxa" w:w="35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兼容矩阵无阻断缺陷</w:t>
            </w:r>
          </w:p>
        </w:tc>
      </w:tr>
      <w:tr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性能</w:t>
            </w:r>
          </w:p>
        </w:tc>
        <w:tc>
          <w:tcPr>
            <w:tcW w:type="dxa" w:w="623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 负载、采集吞吐、队列、写入和查询</w:t>
            </w:r>
          </w:p>
        </w:tc>
        <w:tc>
          <w:tcPr>
            <w:tcW w:type="dxa" w:w="35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达到批准的容量目标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安全</w:t>
            </w:r>
          </w:p>
        </w:tc>
        <w:tc>
          <w:tcPr>
            <w:tcW w:type="dxa" w:w="623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认证、越权、注入、重放、SSRF、密钥和导出</w:t>
            </w:r>
          </w:p>
        </w:tc>
        <w:tc>
          <w:tcPr>
            <w:tcW w:type="dxa" w:w="35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高危和严重问题清零</w:t>
            </w:r>
          </w:p>
        </w:tc>
      </w:tr>
      <w:tr>
        <w:tc>
          <w:tcPr>
            <w:tcW w:type="dxa" w:w="181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恢复</w:t>
            </w:r>
          </w:p>
        </w:tc>
        <w:tc>
          <w:tcPr>
            <w:tcW w:type="dxa" w:w="623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数据库恢复、配置回滚、SDK 回退、队列重放</w:t>
            </w:r>
          </w:p>
        </w:tc>
        <w:tc>
          <w:tcPr>
            <w:tcW w:type="dxa" w:w="35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RPO RTO 演练满足目标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关键业务用例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13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编号</w:t>
            </w:r>
          </w:p>
        </w:tc>
        <w:tc>
          <w:tcPr>
            <w:tcW w:type="dxa" w:w="487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场景</w:t>
            </w:r>
          </w:p>
        </w:tc>
        <w:tc>
          <w:tcPr>
            <w:tcW w:type="dxa" w:w="555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预期结果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E01</w:t>
            </w:r>
          </w:p>
        </w:tc>
        <w:tc>
          <w:tcPr>
            <w:tcW w:type="dxa" w:w="48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首次访问两页后关闭标签页</w:t>
            </w:r>
          </w:p>
        </w:tc>
        <w:tc>
          <w:tcPr>
            <w:tcW w:type="dxa" w:w="55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一个访客和会话，两条 page_view，有效停留合理刷新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E02</w:t>
            </w:r>
          </w:p>
        </w:tc>
        <w:tc>
          <w:tcPr>
            <w:tcW w:type="dxa" w:w="487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次日同浏览器再次访问</w:t>
            </w:r>
          </w:p>
        </w:tc>
        <w:tc>
          <w:tcPr>
            <w:tcW w:type="dxa" w:w="555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复用 visitor_id，创建新 session，时间线按日展示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E03</w:t>
            </w:r>
          </w:p>
        </w:tc>
        <w:tc>
          <w:tcPr>
            <w:tcW w:type="dxa" w:w="48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用户登录并由服务端签发身份令牌</w:t>
            </w:r>
          </w:p>
        </w:tc>
        <w:tc>
          <w:tcPr>
            <w:tcW w:type="dxa" w:w="55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匿名轨迹按规则关联到唯一 contact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E04</w:t>
            </w:r>
          </w:p>
        </w:tc>
        <w:tc>
          <w:tcPr>
            <w:tcW w:type="dxa" w:w="487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同浏览器切换到另一个账号</w:t>
            </w:r>
          </w:p>
        </w:tc>
        <w:tc>
          <w:tcPr>
            <w:tcW w:type="dxa" w:w="555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结束旧身份会话并产生冲突或新关联，不串档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E05</w:t>
            </w:r>
          </w:p>
        </w:tc>
        <w:tc>
          <w:tcPr>
            <w:tcW w:type="dxa" w:w="48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网络离线后恢复</w:t>
            </w:r>
          </w:p>
        </w:tc>
        <w:tc>
          <w:tcPr>
            <w:tcW w:type="dxa" w:w="55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事件有界缓存并重传，event_id 不重复入库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E06</w:t>
            </w:r>
          </w:p>
        </w:tc>
        <w:tc>
          <w:tcPr>
            <w:tcW w:type="dxa" w:w="487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用户撤回分析同意</w:t>
            </w:r>
          </w:p>
        </w:tc>
        <w:tc>
          <w:tcPr>
            <w:tcW w:type="dxa" w:w="555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停止相应用途采集并更新 consent_record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E07</w:t>
            </w:r>
          </w:p>
        </w:tc>
        <w:tc>
          <w:tcPr>
            <w:tcW w:type="dxa" w:w="48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表单包含密码和普通字段</w:t>
            </w:r>
          </w:p>
        </w:tc>
        <w:tc>
          <w:tcPr>
            <w:tcW w:type="dxa" w:w="55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只记录允许的状态和白名单字段，不含密码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E08</w:t>
            </w:r>
          </w:p>
        </w:tc>
        <w:tc>
          <w:tcPr>
            <w:tcW w:type="dxa" w:w="487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重复提交服务端付款事件</w:t>
            </w:r>
          </w:p>
        </w:tc>
        <w:tc>
          <w:tcPr>
            <w:tcW w:type="dxa" w:w="555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只保留一个可信事实并返回幂等结果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E09</w:t>
            </w:r>
          </w:p>
        </w:tc>
        <w:tc>
          <w:tcPr>
            <w:tcW w:type="dxa" w:w="48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运营尝试访问其他组织的 contact_id</w:t>
            </w:r>
          </w:p>
        </w:tc>
        <w:tc>
          <w:tcPr>
            <w:tcW w:type="dxa" w:w="55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返回拒绝且记录安全审计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E10</w:t>
            </w:r>
          </w:p>
        </w:tc>
        <w:tc>
          <w:tcPr>
            <w:tcW w:type="dxa" w:w="487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合规发起删除请求</w:t>
            </w:r>
          </w:p>
        </w:tc>
        <w:tc>
          <w:tcPr>
            <w:tcW w:type="dxa" w:w="555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审批、执行、校验和审计完整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SDK 浏览器矩阵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87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类别</w:t>
            </w:r>
          </w:p>
        </w:tc>
        <w:tc>
          <w:tcPr>
            <w:tcW w:type="dxa" w:w="498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覆盖</w:t>
            </w:r>
          </w:p>
        </w:tc>
        <w:tc>
          <w:tcPr>
            <w:tcW w:type="dxa" w:w="498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重点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桌面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Chrome Edge Firefox Safari 近两年版本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加载 SPA 可见性 Beacon 存储限制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移动</w:t>
            </w:r>
          </w:p>
        </w:tc>
        <w:tc>
          <w:tcPr>
            <w:tcW w:type="dxa" w:w="498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iOS Safari Android Chrome 主流版本</w:t>
            </w:r>
          </w:p>
        </w:tc>
        <w:tc>
          <w:tcPr>
            <w:tcW w:type="dxa" w:w="498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后台切换 页面冻结 触摸和网络变化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隐私模式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无痕 禁用第三方 Cookie 存储失败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降级为内存模式且不报错</w:t>
            </w:r>
          </w:p>
        </w:tc>
      </w:tr>
      <w:tr>
        <w:tc>
          <w:tcPr>
            <w:tcW w:type="dxa" w:w="187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框架</w:t>
            </w:r>
          </w:p>
        </w:tc>
        <w:tc>
          <w:tcPr>
            <w:tcW w:type="dxa" w:w="498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普通多页 React Next.js Vue</w:t>
            </w:r>
          </w:p>
        </w:tc>
        <w:tc>
          <w:tcPr>
            <w:tcW w:type="dxa" w:w="498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路由去重 标题稳定 SSR hydration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网络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离线 慢速 丢包 429 5xx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批量 退避 丢弃和恢复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性能测试模型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基线测试分别覆盖平均流量、三倍峰值、十倍突发和持续一小时稳定负载。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事件负载包含 page_view、engagement、identify 和服务端事件的不同比例，不能只测最小空事件。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查询测试同时运行客户时间线、筛选、总览和导出，观察写入与读取竞争。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报告记录机器规格、数据库参数、数据规模、索引、响应分位数、错误率和资源曲线。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缺陷分级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70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级别</w:t>
            </w:r>
          </w:p>
        </w:tc>
        <w:tc>
          <w:tcPr>
            <w:tcW w:type="dxa" w:w="6520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定义</w:t>
            </w:r>
          </w:p>
        </w:tc>
        <w:tc>
          <w:tcPr>
            <w:tcW w:type="dxa" w:w="362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发布规则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阻断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泄露、串档、丢失核心事实、网站主流程受阻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不得发布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严重</w:t>
            </w:r>
          </w:p>
        </w:tc>
        <w:tc>
          <w:tcPr>
            <w:tcW w:type="dxa" w:w="652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核心流程不可用、显著重复、指标错误</w:t>
            </w:r>
          </w:p>
        </w:tc>
        <w:tc>
          <w:tcPr>
            <w:tcW w:type="dxa" w:w="362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必须修复或批准回退方案</w:t>
            </w:r>
          </w:p>
        </w:tc>
      </w:tr>
      <w:tr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一般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有替代路径的功能或显示问题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评估后可带明确期限上线</w:t>
            </w:r>
          </w:p>
        </w:tc>
      </w:tr>
      <w:tr>
        <w:tc>
          <w:tcPr>
            <w:tcW w:type="dxa" w:w="170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轻微</w:t>
            </w:r>
          </w:p>
        </w:tc>
        <w:tc>
          <w:tcPr>
            <w:tcW w:type="dxa" w:w="652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不影响正确性的体验问题</w:t>
            </w:r>
          </w:p>
        </w:tc>
        <w:tc>
          <w:tcPr>
            <w:tcW w:type="dxa" w:w="362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进入后续迭代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自动化测试输出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流水线保存测试版本、环境、浏览器、数据库迁移版本、种子数据和结果摘要。端到端用例为每个事件保留 event_id 和 request_id，便于从浏览器命令追踪到接收、队列、数据库和后台显示。失败用例必须能够在隔离环境重复执行。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791"/>
        <w:gridCol w:w="4791"/>
      </w:tblGrid>
      <w:tr>
        <w:trPr>
          <w:tblHeader w:val="true"/>
        </w:trPr>
        <w:tc>
          <w:tcPr>
            <w:tcW w:type="dxa" w:w="283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输出</w:t>
            </w:r>
          </w:p>
        </w:tc>
        <w:tc>
          <w:tcPr>
            <w:tcW w:type="dxa" w:w="895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用途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契约兼容报告</w:t>
            </w:r>
          </w:p>
        </w:tc>
        <w:tc>
          <w:tcPr>
            <w:tcW w:type="dxa" w:w="89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证明 SDK、API 和事件版本向后兼容</w:t>
            </w:r>
          </w:p>
        </w:tc>
      </w:tr>
      <w:tr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数据对账报告</w:t>
            </w:r>
          </w:p>
        </w:tc>
        <w:tc>
          <w:tcPr>
            <w:tcW w:type="dxa" w:w="895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比较客户端、接收端、存储和后台指标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浏览器矩阵报告</w:t>
            </w:r>
          </w:p>
        </w:tc>
        <w:tc>
          <w:tcPr>
            <w:tcW w:type="dxa" w:w="89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记录版本、场景、结果和已知限制</w:t>
            </w:r>
          </w:p>
        </w:tc>
      </w:tr>
      <w:tr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性能基线报告</w:t>
            </w:r>
          </w:p>
        </w:tc>
        <w:tc>
          <w:tcPr>
            <w:tcW w:type="dxa" w:w="895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保存数据规模、配置、分位数和资源曲线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安全回归报告</w:t>
            </w:r>
          </w:p>
        </w:tc>
        <w:tc>
          <w:tcPr>
            <w:tcW w:type="dxa" w:w="89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证明越权、重放、注入和导出控制未退化</w:t>
            </w:r>
          </w:p>
        </w:tc>
      </w:tr>
    </w:tbl>
    <w:p>
      <w:pPr>
        <w:spacing w:after="20"/>
      </w:pP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十七 上线与运营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试点步骤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在测试环境接入 SDK，逐页检查 URL、表单、私密区域和关键事件。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生产先启用调试采样和内部流量，确认无页面错误和敏感字段后再开放少量真实流量。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按 5%、25%、100% 灰度，阶段间至少观察一个业务高峰。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每天核对 SDK 事件、服务器日志、业务系统订单或线索，以及后台指标。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连续稳定运行并完成隐私、安全和回滚演练后，将试点版本升级为生产基线。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上线门禁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238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门禁</w:t>
            </w:r>
          </w:p>
        </w:tc>
        <w:tc>
          <w:tcPr>
            <w:tcW w:type="dxa" w:w="6350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通过标准</w:t>
            </w:r>
          </w:p>
        </w:tc>
        <w:tc>
          <w:tcPr>
            <w:tcW w:type="dxa" w:w="317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批准人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范围</w:t>
            </w:r>
          </w:p>
        </w:tc>
        <w:tc>
          <w:tcPr>
            <w:tcW w:type="dxa" w:w="635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P0 完成，未完成项有明确后续计划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产品负责人</w:t>
            </w:r>
          </w:p>
        </w:tc>
      </w:tr>
      <w:tr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质量</w:t>
            </w:r>
          </w:p>
        </w:tc>
        <w:tc>
          <w:tcPr>
            <w:tcW w:type="dxa" w:w="635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阻断缺陷为零，严重缺陷按规则处置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测试和技术负责人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数据</w:t>
            </w:r>
          </w:p>
        </w:tc>
        <w:tc>
          <w:tcPr>
            <w:tcW w:type="dxa" w:w="635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完整率、重复率、时延和明细对账达标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产品和数据负责人</w:t>
            </w:r>
          </w:p>
        </w:tc>
      </w:tr>
      <w:tr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性能</w:t>
            </w:r>
          </w:p>
        </w:tc>
        <w:tc>
          <w:tcPr>
            <w:tcW w:type="dxa" w:w="635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 和服务容量达到批准目标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技术负责人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安全</w:t>
            </w:r>
          </w:p>
        </w:tc>
        <w:tc>
          <w:tcPr>
            <w:tcW w:type="dxa" w:w="635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威胁模型、扫描、渗透和密钥演练完成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安全负责人</w:t>
            </w:r>
          </w:p>
        </w:tc>
      </w:tr>
      <w:tr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隐私</w:t>
            </w:r>
          </w:p>
        </w:tc>
        <w:tc>
          <w:tcPr>
            <w:tcW w:type="dxa" w:w="635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同意、屏蔽、保留和数据主体流程完成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合规负责人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运维</w:t>
            </w:r>
          </w:p>
        </w:tc>
        <w:tc>
          <w:tcPr>
            <w:tcW w:type="dxa" w:w="635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监控、告警、备份、恢复和回滚就绪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运维负责人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运行手册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226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事件</w:t>
            </w:r>
          </w:p>
        </w:tc>
        <w:tc>
          <w:tcPr>
            <w:tcW w:type="dxa" w:w="487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首要检查</w:t>
            </w:r>
          </w:p>
        </w:tc>
        <w:tc>
          <w:tcPr>
            <w:tcW w:type="dxa" w:w="476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处置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采集量骤降</w:t>
            </w:r>
          </w:p>
        </w:tc>
        <w:tc>
          <w:tcPr>
            <w:tcW w:type="dxa" w:w="48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 版本 CDN 域名 CSP 同意变化</w:t>
            </w:r>
          </w:p>
        </w:tc>
        <w:tc>
          <w:tcPr>
            <w:tcW w:type="dxa" w:w="476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回退版本 检查配置和站点发布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拒绝率上升</w:t>
            </w:r>
          </w:p>
        </w:tc>
        <w:tc>
          <w:tcPr>
            <w:tcW w:type="dxa" w:w="487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事件模式 字段类型 新版本</w:t>
            </w:r>
          </w:p>
        </w:tc>
        <w:tc>
          <w:tcPr>
            <w:tcW w:type="dxa" w:w="476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停用问题事件 修复映射 重放可恢复批次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队列积压</w:t>
            </w:r>
          </w:p>
        </w:tc>
        <w:tc>
          <w:tcPr>
            <w:tcW w:type="dxa" w:w="48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消费者 数据库 依赖 限流</w:t>
            </w:r>
          </w:p>
        </w:tc>
        <w:tc>
          <w:tcPr>
            <w:tcW w:type="dxa" w:w="476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扩容 降低非关键任务 隔离坏消息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查询变慢</w:t>
            </w:r>
          </w:p>
        </w:tc>
        <w:tc>
          <w:tcPr>
            <w:tcW w:type="dxa" w:w="487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慢查询 锁 分区 缓存 数据量</w:t>
            </w:r>
          </w:p>
        </w:tc>
        <w:tc>
          <w:tcPr>
            <w:tcW w:type="dxa" w:w="476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限流 优化索引 终止异常导出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身份冲突</w:t>
            </w:r>
          </w:p>
        </w:tc>
        <w:tc>
          <w:tcPr>
            <w:tcW w:type="dxa" w:w="487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identify 来源 共享设备 账号切换</w:t>
            </w:r>
          </w:p>
        </w:tc>
        <w:tc>
          <w:tcPr>
            <w:tcW w:type="dxa" w:w="476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暂停自动合并 修复规则 审核冲突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疑似泄露</w:t>
            </w:r>
          </w:p>
        </w:tc>
        <w:tc>
          <w:tcPr>
            <w:tcW w:type="dxa" w:w="487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审计 导出 密钥 越权告警</w:t>
            </w:r>
          </w:p>
        </w:tc>
        <w:tc>
          <w:tcPr>
            <w:tcW w:type="dxa" w:w="476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按安全级别隔离和响应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运营节奏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每日查看采集健康、告警、死信、容量和安全异常。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每周审查新增事件、未知属性、SDK 版本分布、身份冲突和试点业务对账。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每月复核访问权限、密钥、导出、保留执行、云成本和服务指标。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每季度执行恢复、密钥轮换和数据主体请求演练，并复核处理方与法域变化。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支持与升级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内部用户通过工单提交问题，必须包含组织、站点、环境、时间范围、request_id 或 event_id，禁止在工单复制完整敏感数据。问题按安全、数据正确性、可用性和一般功能分流。涉及数据更正或重放的操作必须经过授权并保留前后计数。</w:t>
      </w: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十八 验收与交付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产品验收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13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编号</w:t>
            </w:r>
          </w:p>
        </w:tc>
        <w:tc>
          <w:tcPr>
            <w:tcW w:type="dxa" w:w="442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验收项</w:t>
            </w:r>
          </w:p>
        </w:tc>
        <w:tc>
          <w:tcPr>
            <w:tcW w:type="dxa" w:w="6010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通过标准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A01</w:t>
            </w:r>
          </w:p>
        </w:tc>
        <w:tc>
          <w:tcPr>
            <w:tcW w:type="dxa" w:w="442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跨天访客轨迹</w:t>
            </w:r>
          </w:p>
        </w:tc>
        <w:tc>
          <w:tcPr>
            <w:tcW w:type="dxa" w:w="601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同一浏览器两日访问显示为一个访客的两个会话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A02</w:t>
            </w:r>
          </w:p>
        </w:tc>
        <w:tc>
          <w:tcPr>
            <w:tcW w:type="dxa" w:w="442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客户识别</w:t>
            </w:r>
          </w:p>
        </w:tc>
        <w:tc>
          <w:tcPr>
            <w:tcW w:type="dxa" w:w="601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有效身份令牌合并成功，无效或过期令牌被拒绝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A03</w:t>
            </w:r>
          </w:p>
        </w:tc>
        <w:tc>
          <w:tcPr>
            <w:tcW w:type="dxa" w:w="442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有效停留</w:t>
            </w:r>
          </w:p>
        </w:tc>
        <w:tc>
          <w:tcPr>
            <w:tcW w:type="dxa" w:w="601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后台标签页不持续累计，隐藏时能刷新最后时长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A04</w:t>
            </w:r>
          </w:p>
        </w:tc>
        <w:tc>
          <w:tcPr>
            <w:tcW w:type="dxa" w:w="442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SPA 页面</w:t>
            </w:r>
          </w:p>
        </w:tc>
        <w:tc>
          <w:tcPr>
            <w:tcW w:type="dxa" w:w="601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路由变化产生正确 page_view 且无明显重复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A05</w:t>
            </w:r>
          </w:p>
        </w:tc>
        <w:tc>
          <w:tcPr>
            <w:tcW w:type="dxa" w:w="442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客户后台</w:t>
            </w:r>
          </w:p>
        </w:tc>
        <w:tc>
          <w:tcPr>
            <w:tcW w:type="dxa" w:w="601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列表、筛选、详情、时间线、标签和备注可用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A06</w:t>
            </w:r>
          </w:p>
        </w:tc>
        <w:tc>
          <w:tcPr>
            <w:tcW w:type="dxa" w:w="442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数据质量</w:t>
            </w:r>
          </w:p>
        </w:tc>
        <w:tc>
          <w:tcPr>
            <w:tcW w:type="dxa" w:w="601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可查看拒绝、重复、迟到、版本和错误原因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A07</w:t>
            </w:r>
          </w:p>
        </w:tc>
        <w:tc>
          <w:tcPr>
            <w:tcW w:type="dxa" w:w="442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隐私</w:t>
            </w:r>
          </w:p>
        </w:tc>
        <w:tc>
          <w:tcPr>
            <w:tcW w:type="dxa" w:w="601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同意撤回、访问导出、删除和保留演练通过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A08</w:t>
            </w:r>
          </w:p>
        </w:tc>
        <w:tc>
          <w:tcPr>
            <w:tcW w:type="dxa" w:w="442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权限</w:t>
            </w:r>
          </w:p>
        </w:tc>
        <w:tc>
          <w:tcPr>
            <w:tcW w:type="dxa" w:w="601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角色矩阵和跨组织越权测试全部通过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A09</w:t>
            </w:r>
          </w:p>
        </w:tc>
        <w:tc>
          <w:tcPr>
            <w:tcW w:type="dxa" w:w="442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服务端事实</w:t>
            </w:r>
          </w:p>
        </w:tc>
        <w:tc>
          <w:tcPr>
            <w:tcW w:type="dxa" w:w="601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订单或线索事件签名、幂等和审计正确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A10</w:t>
            </w:r>
          </w:p>
        </w:tc>
        <w:tc>
          <w:tcPr>
            <w:tcW w:type="dxa" w:w="442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回滚</w:t>
            </w:r>
          </w:p>
        </w:tc>
        <w:tc>
          <w:tcPr>
            <w:tcW w:type="dxa" w:w="601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SDK、配置和应用回退演练在目标时间内完成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质量目标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260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指标</w:t>
            </w:r>
          </w:p>
        </w:tc>
        <w:tc>
          <w:tcPr>
            <w:tcW w:type="dxa" w:w="345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建议验收值</w:t>
            </w:r>
          </w:p>
        </w:tc>
        <w:tc>
          <w:tcPr>
            <w:tcW w:type="dxa" w:w="549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条件</w:t>
            </w:r>
          </w:p>
        </w:tc>
      </w:tr>
      <w:tr>
        <w:tc>
          <w:tcPr>
            <w:tcW w:type="dxa" w:w="2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核心事件完整率</w:t>
            </w:r>
          </w:p>
        </w:tc>
        <w:tc>
          <w:tcPr>
            <w:tcW w:type="dxa" w:w="34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不低于 99%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与试点基准日志对账</w:t>
            </w:r>
          </w:p>
        </w:tc>
      </w:tr>
      <w:tr>
        <w:tc>
          <w:tcPr>
            <w:tcW w:type="dxa" w:w="260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幂等正确性</w:t>
            </w:r>
          </w:p>
        </w:tc>
        <w:tc>
          <w:tcPr>
            <w:tcW w:type="dxa" w:w="345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重复 event_id 测试 100% 不重复</w:t>
            </w:r>
          </w:p>
        </w:tc>
        <w:tc>
          <w:tcPr>
            <w:tcW w:type="dxa" w:w="549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并发和重试测试</w:t>
            </w:r>
          </w:p>
        </w:tc>
      </w:tr>
      <w:tr>
        <w:tc>
          <w:tcPr>
            <w:tcW w:type="dxa" w:w="2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采集 API</w:t>
            </w:r>
          </w:p>
        </w:tc>
        <w:tc>
          <w:tcPr>
            <w:tcW w:type="dxa" w:w="34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P95 不高于 200 ms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批准的负载、地域和载荷</w:t>
            </w:r>
          </w:p>
        </w:tc>
      </w:tr>
      <w:tr>
        <w:tc>
          <w:tcPr>
            <w:tcW w:type="dxa" w:w="260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可查询时延</w:t>
            </w:r>
          </w:p>
        </w:tc>
        <w:tc>
          <w:tcPr>
            <w:tcW w:type="dxa" w:w="345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95% 不高于 60 秒</w:t>
            </w:r>
          </w:p>
        </w:tc>
        <w:tc>
          <w:tcPr>
            <w:tcW w:type="dxa" w:w="549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排除明确标记的离线迟到事件</w:t>
            </w:r>
          </w:p>
        </w:tc>
      </w:tr>
      <w:tr>
        <w:tc>
          <w:tcPr>
            <w:tcW w:type="dxa" w:w="2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客户常用查询</w:t>
            </w:r>
          </w:p>
        </w:tc>
        <w:tc>
          <w:tcPr>
            <w:tcW w:type="dxa" w:w="34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P95 不高于 2 秒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批准的数据规模和筛选集</w:t>
            </w:r>
          </w:p>
        </w:tc>
      </w:tr>
      <w:tr>
        <w:tc>
          <w:tcPr>
            <w:tcW w:type="dxa" w:w="260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 体积</w:t>
            </w:r>
          </w:p>
        </w:tc>
        <w:tc>
          <w:tcPr>
            <w:tcW w:type="dxa" w:w="345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gzip 不高于 40 KB</w:t>
            </w:r>
          </w:p>
        </w:tc>
        <w:tc>
          <w:tcPr>
            <w:tcW w:type="dxa" w:w="549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核心包，不含可选适配器</w:t>
            </w:r>
          </w:p>
        </w:tc>
      </w:tr>
      <w:tr>
        <w:tc>
          <w:tcPr>
            <w:tcW w:type="dxa" w:w="2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严重安全问题</w:t>
            </w:r>
          </w:p>
        </w:tc>
        <w:tc>
          <w:tcPr>
            <w:tcW w:type="dxa" w:w="34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零</w:t>
            </w:r>
          </w:p>
        </w:tc>
        <w:tc>
          <w:tcPr>
            <w:tcW w:type="dxa" w:w="549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发布前扫描和测试</w:t>
            </w:r>
          </w:p>
        </w:tc>
      </w:tr>
      <w:tr>
        <w:tc>
          <w:tcPr>
            <w:tcW w:type="dxa" w:w="260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网站主流程影响</w:t>
            </w:r>
          </w:p>
        </w:tc>
        <w:tc>
          <w:tcPr>
            <w:tcW w:type="dxa" w:w="345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无阻断性回归</w:t>
            </w:r>
          </w:p>
        </w:tc>
        <w:tc>
          <w:tcPr>
            <w:tcW w:type="dxa" w:w="549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真实页面性能与功能测试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交付物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791"/>
        <w:gridCol w:w="4791"/>
      </w:tblGrid>
      <w:tr>
        <w:trPr>
          <w:tblHeader w:val="true"/>
        </w:trPr>
        <w:tc>
          <w:tcPr>
            <w:tcW w:type="dxa" w:w="226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类别</w:t>
            </w:r>
          </w:p>
        </w:tc>
        <w:tc>
          <w:tcPr>
            <w:tcW w:type="dxa" w:w="918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交付物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产品</w:t>
            </w:r>
          </w:p>
        </w:tc>
        <w:tc>
          <w:tcPr>
            <w:tcW w:type="dxa" w:w="91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项目章程 PRD 页面原型 事件目录 指标口径 权限矩阵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SDK</w:t>
            </w:r>
          </w:p>
        </w:tc>
        <w:tc>
          <w:tcPr>
            <w:tcW w:type="dxa" w:w="91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源代码 构建配置 类型声明 接入文档 版本和兼容策略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后端</w:t>
            </w:r>
          </w:p>
        </w:tc>
        <w:tc>
          <w:tcPr>
            <w:tcW w:type="dxa" w:w="91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服务源代码 API 文档 数据库迁移 后台任务和集成示例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后台</w:t>
            </w:r>
          </w:p>
        </w:tc>
        <w:tc>
          <w:tcPr>
            <w:tcW w:type="dxa" w:w="91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前端源代码 页面和组件 权限控制 操作说明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基础设施</w:t>
            </w:r>
          </w:p>
        </w:tc>
        <w:tc>
          <w:tcPr>
            <w:tcW w:type="dxa" w:w="91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环境配置 基础设施代码 CI CD 监控 告警 备份和回滚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质量</w:t>
            </w:r>
          </w:p>
        </w:tc>
        <w:tc>
          <w:tcPr>
            <w:tcW w:type="dxa" w:w="91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测试计划 自动化用例 浏览器报告 性能报告 安全报告 缺陷清单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隐私</w:t>
            </w:r>
          </w:p>
        </w:tc>
        <w:tc>
          <w:tcPr>
            <w:tcW w:type="dxa" w:w="918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数据清单 同意映射 保留规则 数据请求流程 处理方清单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运营</w:t>
            </w:r>
          </w:p>
        </w:tc>
        <w:tc>
          <w:tcPr>
            <w:tcW w:type="dxa" w:w="918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运行手册 故障预案 值班和升级 培训材料 上线复盘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完成定义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代码已评审、测试、扫描并进入受控主分支。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接口、事件、指标、配置和数据库变更有版本化文档。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监控、告警、日志、审计和运行手册随功能一起交付。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敏感字段、权限、同意和保留要求有自动化或可重复验证证据。</w:t>
      </w:r>
    </w:p>
    <w:p>
      <w:pPr>
        <w:pStyle w:val="ListBullet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试点数据完成明细对账，遗留问题有负责人、期限和风险接受记录。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验收程序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交付团队提交发布候选版本、需求追踪矩阵、测试证据和已知问题清单。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产品和数据负责人按 A01 至 A10 在验收环境执行场景，并对明细和聚合结果签署。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技术、安全、合规和运维负责人分别确认容量、权限、隐私流程、恢复与回滚。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未达到指标时形成纠正计划；需要带风险上线时，必须记录风险、期限、负责人和批准人。</w:t>
      </w:r>
    </w:p>
    <w:p>
      <w:pPr>
        <w:pStyle w:val="ListNumber"/>
        <w:spacing w:after="50"/>
      </w:pPr>
      <w:r>
        <w:rPr>
          <w:rFonts w:ascii="Microsoft YaHei" w:hAnsi="Microsoft YaHei" w:eastAsia="Microsoft YaHei"/>
          <w:b w:val="0"/>
          <w:color w:val="000000"/>
          <w:sz w:val="18"/>
        </w:rPr>
        <w:t>正式上线观察期结束后完成最终验收，交付基线、代码、文档和运维责任转移。</w:t>
      </w: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十九 风险与决策清单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主要风险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916"/>
        <w:gridCol w:w="1916"/>
        <w:gridCol w:w="1916"/>
        <w:gridCol w:w="1916"/>
        <w:gridCol w:w="1916"/>
      </w:tblGrid>
      <w:tr>
        <w:trPr>
          <w:tblHeader w:val="true"/>
        </w:trPr>
        <w:tc>
          <w:tcPr>
            <w:tcW w:type="dxa" w:w="232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风险</w:t>
            </w:r>
          </w:p>
        </w:tc>
        <w:tc>
          <w:tcPr>
            <w:tcW w:type="dxa" w:w="1020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概率</w:t>
            </w:r>
          </w:p>
        </w:tc>
        <w:tc>
          <w:tcPr>
            <w:tcW w:type="dxa" w:w="1020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影响</w:t>
            </w:r>
          </w:p>
        </w:tc>
        <w:tc>
          <w:tcPr>
            <w:tcW w:type="dxa" w:w="498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预防与应对</w:t>
            </w:r>
          </w:p>
        </w:tc>
        <w:tc>
          <w:tcPr>
            <w:tcW w:type="dxa" w:w="209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责任角色</w:t>
            </w:r>
          </w:p>
        </w:tc>
      </w:tr>
      <w:tr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采集范围过宽导致合规和信任风险</w:t>
            </w:r>
          </w:p>
        </w:tc>
        <w:tc>
          <w:tcPr>
            <w:tcW w:type="dxa" w:w="10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中</w:t>
            </w:r>
          </w:p>
        </w:tc>
        <w:tc>
          <w:tcPr>
            <w:tcW w:type="dxa" w:w="10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高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目的和字段审批 默认屏蔽 分级同意</w:t>
            </w:r>
          </w:p>
        </w:tc>
        <w:tc>
          <w:tcPr>
            <w:tcW w:type="dxa" w:w="209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产品 合规</w:t>
            </w:r>
          </w:p>
        </w:tc>
      </w:tr>
      <w:tr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身份误合并造成客户串档</w:t>
            </w:r>
          </w:p>
        </w:tc>
        <w:tc>
          <w:tcPr>
            <w:tcW w:type="dxa" w:w="102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中</w:t>
            </w:r>
          </w:p>
        </w:tc>
        <w:tc>
          <w:tcPr>
            <w:tcW w:type="dxa" w:w="102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高</w:t>
            </w:r>
          </w:p>
        </w:tc>
        <w:tc>
          <w:tcPr>
            <w:tcW w:type="dxa" w:w="498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服务端签名 冲突队列 reset 可解除合并</w:t>
            </w:r>
          </w:p>
        </w:tc>
        <w:tc>
          <w:tcPr>
            <w:tcW w:type="dxa" w:w="209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技术 产品</w:t>
            </w:r>
          </w:p>
        </w:tc>
      </w:tr>
      <w:tr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自动采集泄露表单或 URL 敏感值</w:t>
            </w:r>
          </w:p>
        </w:tc>
        <w:tc>
          <w:tcPr>
            <w:tcW w:type="dxa" w:w="10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中</w:t>
            </w:r>
          </w:p>
        </w:tc>
        <w:tc>
          <w:tcPr>
            <w:tcW w:type="dxa" w:w="10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高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白名单 清洗 私密区域测试</w:t>
            </w:r>
          </w:p>
        </w:tc>
        <w:tc>
          <w:tcPr>
            <w:tcW w:type="dxa" w:w="209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SDK 合规</w:t>
            </w:r>
          </w:p>
        </w:tc>
      </w:tr>
      <w:tr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事件量超预期造成成本上升</w:t>
            </w:r>
          </w:p>
        </w:tc>
        <w:tc>
          <w:tcPr>
            <w:tcW w:type="dxa" w:w="102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中</w:t>
            </w:r>
          </w:p>
        </w:tc>
        <w:tc>
          <w:tcPr>
            <w:tcW w:type="dxa" w:w="102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中</w:t>
            </w:r>
          </w:p>
        </w:tc>
        <w:tc>
          <w:tcPr>
            <w:tcW w:type="dxa" w:w="498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采样 配额 保留 分区和容量门槛</w:t>
            </w:r>
          </w:p>
        </w:tc>
        <w:tc>
          <w:tcPr>
            <w:tcW w:type="dxa" w:w="209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技术 运维</w:t>
            </w:r>
          </w:p>
        </w:tc>
      </w:tr>
      <w:tr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SDK 影响网站性能或引发错误</w:t>
            </w:r>
          </w:p>
        </w:tc>
        <w:tc>
          <w:tcPr>
            <w:tcW w:type="dxa" w:w="10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低中</w:t>
            </w:r>
          </w:p>
        </w:tc>
        <w:tc>
          <w:tcPr>
            <w:tcW w:type="dxa" w:w="10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高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异步 隔离 性能预算 灰度和停用</w:t>
            </w:r>
          </w:p>
        </w:tc>
        <w:tc>
          <w:tcPr>
            <w:tcW w:type="dxa" w:w="209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SDK</w:t>
            </w:r>
          </w:p>
        </w:tc>
      </w:tr>
      <w:tr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业务事件依赖客户端导致数据失真</w:t>
            </w:r>
          </w:p>
        </w:tc>
        <w:tc>
          <w:tcPr>
            <w:tcW w:type="dxa" w:w="102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中</w:t>
            </w:r>
          </w:p>
        </w:tc>
        <w:tc>
          <w:tcPr>
            <w:tcW w:type="dxa" w:w="102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高</w:t>
            </w:r>
          </w:p>
        </w:tc>
        <w:tc>
          <w:tcPr>
            <w:tcW w:type="dxa" w:w="498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订单和付款改为服务端签名事件</w:t>
            </w:r>
          </w:p>
        </w:tc>
        <w:tc>
          <w:tcPr>
            <w:tcW w:type="dxa" w:w="209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后端 业务</w:t>
            </w:r>
          </w:p>
        </w:tc>
      </w:tr>
      <w:tr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指标定义反复改变拖延交付</w:t>
            </w:r>
          </w:p>
        </w:tc>
        <w:tc>
          <w:tcPr>
            <w:tcW w:type="dxa" w:w="10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高</w:t>
            </w:r>
          </w:p>
        </w:tc>
        <w:tc>
          <w:tcPr>
            <w:tcW w:type="dxa" w:w="10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中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第二周冻结 P0 口径 变更版本化</w:t>
            </w:r>
          </w:p>
        </w:tc>
        <w:tc>
          <w:tcPr>
            <w:tcW w:type="dxa" w:w="209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产品</w:t>
            </w:r>
          </w:p>
        </w:tc>
      </w:tr>
      <w:tr>
        <w:tc>
          <w:tcPr>
            <w:tcW w:type="dxa" w:w="232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跨境或第三方处理未及时确认</w:t>
            </w:r>
          </w:p>
        </w:tc>
        <w:tc>
          <w:tcPr>
            <w:tcW w:type="dxa" w:w="102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中</w:t>
            </w:r>
          </w:p>
        </w:tc>
        <w:tc>
          <w:tcPr>
            <w:tcW w:type="dxa" w:w="102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高</w:t>
            </w:r>
          </w:p>
        </w:tc>
        <w:tc>
          <w:tcPr>
            <w:tcW w:type="dxa" w:w="498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部署前处理方清单和合规门禁</w:t>
            </w:r>
          </w:p>
        </w:tc>
        <w:tc>
          <w:tcPr>
            <w:tcW w:type="dxa" w:w="209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合规 采购</w:t>
            </w:r>
          </w:p>
        </w:tc>
      </w:tr>
      <w:tr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恢复只备份不演练</w:t>
            </w:r>
          </w:p>
        </w:tc>
        <w:tc>
          <w:tcPr>
            <w:tcW w:type="dxa" w:w="10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中</w:t>
            </w:r>
          </w:p>
        </w:tc>
        <w:tc>
          <w:tcPr>
            <w:tcW w:type="dxa" w:w="10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高</w:t>
            </w:r>
          </w:p>
        </w:tc>
        <w:tc>
          <w:tcPr>
            <w:tcW w:type="dxa" w:w="498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季度恢复演练和证据</w:t>
            </w:r>
          </w:p>
        </w:tc>
        <w:tc>
          <w:tcPr>
            <w:tcW w:type="dxa" w:w="209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运维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启动会必须决定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95"/>
        <w:gridCol w:w="2395"/>
        <w:gridCol w:w="2395"/>
        <w:gridCol w:w="2395"/>
      </w:tblGrid>
      <w:tr>
        <w:trPr>
          <w:tblHeader w:val="true"/>
        </w:trPr>
        <w:tc>
          <w:tcPr>
            <w:tcW w:type="dxa" w:w="113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编号</w:t>
            </w:r>
          </w:p>
        </w:tc>
        <w:tc>
          <w:tcPr>
            <w:tcW w:type="dxa" w:w="408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决策</w:t>
            </w:r>
          </w:p>
        </w:tc>
        <w:tc>
          <w:tcPr>
            <w:tcW w:type="dxa" w:w="5443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建议</w:t>
            </w:r>
          </w:p>
        </w:tc>
        <w:tc>
          <w:tcPr>
            <w:tcW w:type="dxa" w:w="147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最迟时间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D01</w:t>
            </w:r>
          </w:p>
        </w:tc>
        <w:tc>
          <w:tcPr>
            <w:tcW w:type="dxa" w:w="408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试点站点和业务负责人</w:t>
            </w:r>
          </w:p>
        </w:tc>
        <w:tc>
          <w:tcPr>
            <w:tcW w:type="dxa" w:w="544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选择流量可控且有登录或留资闭环的网站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第 1 周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D02</w:t>
            </w:r>
          </w:p>
        </w:tc>
        <w:tc>
          <w:tcPr>
            <w:tcW w:type="dxa" w:w="408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P0 业务转化</w:t>
            </w:r>
          </w:p>
        </w:tc>
        <w:tc>
          <w:tcPr>
            <w:tcW w:type="dxa" w:w="544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限制为 3 至 5 个可验证转化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第 2 周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D03</w:t>
            </w:r>
          </w:p>
        </w:tc>
        <w:tc>
          <w:tcPr>
            <w:tcW w:type="dxa" w:w="408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同意模式和适用法域</w:t>
            </w:r>
          </w:p>
        </w:tc>
        <w:tc>
          <w:tcPr>
            <w:tcW w:type="dxa" w:w="544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按用途分级并由授权合规负责人批准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第 2 周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D04</w:t>
            </w:r>
          </w:p>
        </w:tc>
        <w:tc>
          <w:tcPr>
            <w:tcW w:type="dxa" w:w="408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身份主键和共享设备策略</w:t>
            </w:r>
          </w:p>
        </w:tc>
        <w:tc>
          <w:tcPr>
            <w:tcW w:type="dxa" w:w="544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user_id 为主，账号切换结束会话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第 3 周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D05</w:t>
            </w:r>
          </w:p>
        </w:tc>
        <w:tc>
          <w:tcPr>
            <w:tcW w:type="dxa" w:w="408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数据地域和云厂商</w:t>
            </w:r>
          </w:p>
        </w:tc>
        <w:tc>
          <w:tcPr>
            <w:tcW w:type="dxa" w:w="544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优先靠近主要用户并满足合规要求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第 3 周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D06</w:t>
            </w:r>
          </w:p>
        </w:tc>
        <w:tc>
          <w:tcPr>
            <w:tcW w:type="dxa" w:w="408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保存期限</w:t>
            </w:r>
          </w:p>
        </w:tc>
        <w:tc>
          <w:tcPr>
            <w:tcW w:type="dxa" w:w="544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匿名 90 天 已识别 180 天为讨论基线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第 3 周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D07</w:t>
            </w:r>
          </w:p>
        </w:tc>
        <w:tc>
          <w:tcPr>
            <w:tcW w:type="dxa" w:w="408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容量和服务目标</w:t>
            </w:r>
          </w:p>
        </w:tc>
        <w:tc>
          <w:tcPr>
            <w:tcW w:type="dxa" w:w="544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以真实试点测量修订本方案目标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第 4 周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D08</w:t>
            </w:r>
          </w:p>
        </w:tc>
        <w:tc>
          <w:tcPr>
            <w:tcW w:type="dxa" w:w="408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后台身份和 SSO</w:t>
            </w:r>
          </w:p>
        </w:tc>
        <w:tc>
          <w:tcPr>
            <w:tcW w:type="dxa" w:w="544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企业 OIDC 加管理员 MFA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第 4 周</w:t>
            </w:r>
          </w:p>
        </w:tc>
      </w:tr>
      <w:tr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D09</w:t>
            </w:r>
          </w:p>
        </w:tc>
        <w:tc>
          <w:tcPr>
            <w:tcW w:type="dxa" w:w="408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CRM 订单和服务端事件接口</w:t>
            </w:r>
          </w:p>
        </w:tc>
        <w:tc>
          <w:tcPr>
            <w:tcW w:type="dxa" w:w="544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指定系统和技术负责人</w:t>
            </w:r>
          </w:p>
        </w:tc>
        <w:tc>
          <w:tcPr>
            <w:tcW w:type="dxa" w:w="147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第 4 周</w:t>
            </w:r>
          </w:p>
        </w:tc>
      </w:tr>
      <w:tr>
        <w:tc>
          <w:tcPr>
            <w:tcW w:type="dxa" w:w="113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D10</w:t>
            </w:r>
          </w:p>
        </w:tc>
        <w:tc>
          <w:tcPr>
            <w:tcW w:type="dxa" w:w="408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会话回放和设备指纹</w:t>
            </w:r>
          </w:p>
        </w:tc>
        <w:tc>
          <w:tcPr>
            <w:tcW w:type="dxa" w:w="5443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首期明确不做</w:t>
            </w:r>
          </w:p>
        </w:tc>
        <w:tc>
          <w:tcPr>
            <w:tcW w:type="dxa" w:w="147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第 1 周</w:t>
            </w:r>
          </w:p>
        </w:tc>
      </w:tr>
    </w:tbl>
    <w:p>
      <w:pPr>
        <w:spacing w:after="20"/>
      </w:pP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启动后十个工作日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198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时间</w:t>
            </w:r>
          </w:p>
        </w:tc>
        <w:tc>
          <w:tcPr>
            <w:tcW w:type="dxa" w:w="6520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动作</w:t>
            </w:r>
          </w:p>
        </w:tc>
        <w:tc>
          <w:tcPr>
            <w:tcW w:type="dxa" w:w="323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结果</w:t>
            </w:r>
          </w:p>
        </w:tc>
      </w:tr>
      <w:tr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第 1 至 2 日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确定发起人、产品、技术、合规和试点网站负责人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项目章程和沟通机制</w:t>
            </w:r>
          </w:p>
        </w:tc>
      </w:tr>
      <w:tr>
        <w:tc>
          <w:tcPr>
            <w:tcW w:type="dxa" w:w="198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第 3 至 4 日</w:t>
            </w:r>
          </w:p>
        </w:tc>
        <w:tc>
          <w:tcPr>
            <w:tcW w:type="dxa" w:w="652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完成页面、表单、登录、转化和外部系统盘点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采集地图和依赖清单</w:t>
            </w:r>
          </w:p>
        </w:tc>
      </w:tr>
      <w:tr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第 5 日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确认事件、指标、身份、同意和不采集清单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P0 数据合同</w:t>
            </w:r>
          </w:p>
        </w:tc>
      </w:tr>
      <w:tr>
        <w:tc>
          <w:tcPr>
            <w:tcW w:type="dxa" w:w="198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第 6 至 7 日</w:t>
            </w:r>
          </w:p>
        </w:tc>
        <w:tc>
          <w:tcPr>
            <w:tcW w:type="dxa" w:w="652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完成架构、数据模型和威胁建模评审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关键技术决策记录</w:t>
            </w:r>
          </w:p>
        </w:tc>
      </w:tr>
      <w:tr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第 8 日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确认云、域名、环境、OIDC 和密钥管理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环境开通计划</w:t>
            </w:r>
          </w:p>
        </w:tc>
      </w:tr>
      <w:tr>
        <w:tc>
          <w:tcPr>
            <w:tcW w:type="dxa" w:w="198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第 9 日</w:t>
            </w:r>
          </w:p>
        </w:tc>
        <w:tc>
          <w:tcPr>
            <w:tcW w:type="dxa" w:w="652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拆分研发、测试、合规和上线任务</w:t>
            </w:r>
          </w:p>
        </w:tc>
        <w:tc>
          <w:tcPr>
            <w:tcW w:type="dxa" w:w="323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可执行项目计划</w:t>
            </w:r>
          </w:p>
        </w:tc>
      </w:tr>
      <w:tr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第 10 日</w:t>
            </w:r>
          </w:p>
        </w:tc>
        <w:tc>
          <w:tcPr>
            <w:tcW w:type="dxa" w:w="6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批准范围、资源、里程碑和验收目标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正式进入实施</w:t>
            </w:r>
          </w:p>
        </w:tc>
      </w:tr>
    </w:tbl>
    <w:p>
      <w:pPr>
        <w:spacing w:after="20"/>
      </w:pP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附录一 事件字典基线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597"/>
        <w:gridCol w:w="1597"/>
        <w:gridCol w:w="1597"/>
        <w:gridCol w:w="1597"/>
        <w:gridCol w:w="1597"/>
        <w:gridCol w:w="1597"/>
      </w:tblGrid>
      <w:tr>
        <w:trPr>
          <w:tblHeader w:val="true"/>
        </w:trPr>
        <w:tc>
          <w:tcPr>
            <w:tcW w:type="dxa" w:w="215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3"/>
              </w:rPr>
              <w:t>事件名</w:t>
            </w:r>
          </w:p>
        </w:tc>
        <w:tc>
          <w:tcPr>
            <w:tcW w:type="dxa" w:w="1360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3"/>
              </w:rPr>
              <w:t>类别</w:t>
            </w:r>
          </w:p>
        </w:tc>
        <w:tc>
          <w:tcPr>
            <w:tcW w:type="dxa" w:w="283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3"/>
              </w:rPr>
              <w:t>触发</w:t>
            </w:r>
          </w:p>
        </w:tc>
        <w:tc>
          <w:tcPr>
            <w:tcW w:type="dxa" w:w="317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3"/>
              </w:rPr>
              <w:t>必需属性</w:t>
            </w:r>
          </w:p>
        </w:tc>
        <w:tc>
          <w:tcPr>
            <w:tcW w:type="dxa" w:w="175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3"/>
              </w:rPr>
              <w:t>来源</w:t>
            </w:r>
          </w:p>
        </w:tc>
        <w:tc>
          <w:tcPr>
            <w:tcW w:type="dxa" w:w="1247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3"/>
              </w:rPr>
              <w:t>优先级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sdk_loaded</w:t>
            </w:r>
          </w:p>
        </w:tc>
        <w:tc>
          <w:tcPr>
            <w:tcW w:type="dxa" w:w="1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诊断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SDK 初始化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sdk_version config_version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客户端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P0</w:t>
            </w:r>
          </w:p>
        </w:tc>
      </w:tr>
      <w:tr>
        <w:tc>
          <w:tcPr>
            <w:tcW w:type="dxa" w:w="215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session_start</w:t>
            </w:r>
          </w:p>
        </w:tc>
        <w:tc>
          <w:tcPr>
            <w:tcW w:type="dxa" w:w="136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会话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新会话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landing_path source</w:t>
            </w:r>
          </w:p>
        </w:tc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客户端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P0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page_view</w:t>
            </w:r>
          </w:p>
        </w:tc>
        <w:tc>
          <w:tcPr>
            <w:tcW w:type="dxa" w:w="1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页面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页面或路由稳定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path title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客户端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P0</w:t>
            </w:r>
          </w:p>
        </w:tc>
      </w:tr>
      <w:tr>
        <w:tc>
          <w:tcPr>
            <w:tcW w:type="dxa" w:w="215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page_engagement</w:t>
            </w:r>
          </w:p>
        </w:tc>
        <w:tc>
          <w:tcPr>
            <w:tcW w:type="dxa" w:w="136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页面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隐藏 卸载 周期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active_ms visible_ms</w:t>
            </w:r>
          </w:p>
        </w:tc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客户端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P0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click</w:t>
            </w:r>
          </w:p>
        </w:tc>
        <w:tc>
          <w:tcPr>
            <w:tcW w:type="dxa" w:w="1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互动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命中允许规则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track_id role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客户端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P1</w:t>
            </w:r>
          </w:p>
        </w:tc>
      </w:tr>
      <w:tr>
        <w:tc>
          <w:tcPr>
            <w:tcW w:type="dxa" w:w="215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scroll_depth</w:t>
            </w:r>
          </w:p>
        </w:tc>
        <w:tc>
          <w:tcPr>
            <w:tcW w:type="dxa" w:w="136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互动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首次达到阈值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depth_percent</w:t>
            </w:r>
          </w:p>
        </w:tc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客户端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P1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form_start</w:t>
            </w:r>
          </w:p>
        </w:tc>
        <w:tc>
          <w:tcPr>
            <w:tcW w:type="dxa" w:w="1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表单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首次允许交互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form_id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客户端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P1</w:t>
            </w:r>
          </w:p>
        </w:tc>
      </w:tr>
      <w:tr>
        <w:tc>
          <w:tcPr>
            <w:tcW w:type="dxa" w:w="215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form_submit</w:t>
            </w:r>
          </w:p>
        </w:tc>
        <w:tc>
          <w:tcPr>
            <w:tcW w:type="dxa" w:w="136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表单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提交完成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form_id result</w:t>
            </w:r>
          </w:p>
        </w:tc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客户端或服务端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P0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lead_submitted</w:t>
            </w:r>
          </w:p>
        </w:tc>
        <w:tc>
          <w:tcPr>
            <w:tcW w:type="dxa" w:w="1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线索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线索创建成功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lead_id channel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服务端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P0</w:t>
            </w:r>
          </w:p>
        </w:tc>
      </w:tr>
      <w:tr>
        <w:tc>
          <w:tcPr>
            <w:tcW w:type="dxa" w:w="215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sign_up</w:t>
            </w:r>
          </w:p>
        </w:tc>
        <w:tc>
          <w:tcPr>
            <w:tcW w:type="dxa" w:w="136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账户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注册成功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user_id method</w:t>
            </w:r>
          </w:p>
        </w:tc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服务端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P0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login</w:t>
            </w:r>
          </w:p>
        </w:tc>
        <w:tc>
          <w:tcPr>
            <w:tcW w:type="dxa" w:w="1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账户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登录结果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user_id result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服务端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P0</w:t>
            </w:r>
          </w:p>
        </w:tc>
      </w:tr>
      <w:tr>
        <w:tc>
          <w:tcPr>
            <w:tcW w:type="dxa" w:w="215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logout</w:t>
            </w:r>
          </w:p>
        </w:tc>
        <w:tc>
          <w:tcPr>
            <w:tcW w:type="dxa" w:w="136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账户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退出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user_id</w:t>
            </w:r>
          </w:p>
        </w:tc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服务端或客户端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P1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search</w:t>
            </w:r>
          </w:p>
        </w:tc>
        <w:tc>
          <w:tcPr>
            <w:tcW w:type="dxa" w:w="1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内容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站内搜索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query_token result_count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客户端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P1</w:t>
            </w:r>
          </w:p>
        </w:tc>
      </w:tr>
      <w:tr>
        <w:tc>
          <w:tcPr>
            <w:tcW w:type="dxa" w:w="215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content_view</w:t>
            </w:r>
          </w:p>
        </w:tc>
        <w:tc>
          <w:tcPr>
            <w:tcW w:type="dxa" w:w="136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内容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关键内容打开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content_id content_type</w:t>
            </w:r>
          </w:p>
        </w:tc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客户端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P1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download</w:t>
            </w:r>
          </w:p>
        </w:tc>
        <w:tc>
          <w:tcPr>
            <w:tcW w:type="dxa" w:w="1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内容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下载授权或完成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asset_id asset_type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服务端优先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P1</w:t>
            </w:r>
          </w:p>
        </w:tc>
      </w:tr>
      <w:tr>
        <w:tc>
          <w:tcPr>
            <w:tcW w:type="dxa" w:w="215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product_view</w:t>
            </w:r>
          </w:p>
        </w:tc>
        <w:tc>
          <w:tcPr>
            <w:tcW w:type="dxa" w:w="136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电商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产品详情打开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product_id sku</w:t>
            </w:r>
          </w:p>
        </w:tc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客户端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P1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add_to_cart</w:t>
            </w:r>
          </w:p>
        </w:tc>
        <w:tc>
          <w:tcPr>
            <w:tcW w:type="dxa" w:w="1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电商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加入购物车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product_id quantity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客户端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P1</w:t>
            </w:r>
          </w:p>
        </w:tc>
      </w:tr>
      <w:tr>
        <w:tc>
          <w:tcPr>
            <w:tcW w:type="dxa" w:w="215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checkout_started</w:t>
            </w:r>
          </w:p>
        </w:tc>
        <w:tc>
          <w:tcPr>
            <w:tcW w:type="dxa" w:w="136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电商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结算开始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cart_id value currency</w:t>
            </w:r>
          </w:p>
        </w:tc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客户端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P1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order_created</w:t>
            </w:r>
          </w:p>
        </w:tc>
        <w:tc>
          <w:tcPr>
            <w:tcW w:type="dxa" w:w="1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交易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订单创建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order_id value currency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服务端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P0</w:t>
            </w:r>
          </w:p>
        </w:tc>
      </w:tr>
      <w:tr>
        <w:tc>
          <w:tcPr>
            <w:tcW w:type="dxa" w:w="215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order_paid</w:t>
            </w:r>
          </w:p>
        </w:tc>
        <w:tc>
          <w:tcPr>
            <w:tcW w:type="dxa" w:w="136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交易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支付确认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order_id amount currency</w:t>
            </w:r>
          </w:p>
        </w:tc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服务端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P0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refund_completed</w:t>
            </w:r>
          </w:p>
        </w:tc>
        <w:tc>
          <w:tcPr>
            <w:tcW w:type="dxa" w:w="1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交易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退款完成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order_id amount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服务端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P1</w:t>
            </w:r>
          </w:p>
        </w:tc>
      </w:tr>
      <w:tr>
        <w:tc>
          <w:tcPr>
            <w:tcW w:type="dxa" w:w="215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consent_updated</w:t>
            </w:r>
          </w:p>
        </w:tc>
        <w:tc>
          <w:tcPr>
            <w:tcW w:type="dxa" w:w="136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治理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同意变化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version purposes</w:t>
            </w:r>
          </w:p>
        </w:tc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客户端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P0</w:t>
            </w:r>
          </w:p>
        </w:tc>
      </w:tr>
      <w:tr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identity_linked</w:t>
            </w:r>
          </w:p>
        </w:tc>
        <w:tc>
          <w:tcPr>
            <w:tcW w:type="dxa" w:w="1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身份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身份验证完成</w:t>
            </w:r>
          </w:p>
        </w:tc>
        <w:tc>
          <w:tcPr>
            <w:tcW w:type="dxa" w:w="31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user_id rule_version</w:t>
            </w:r>
          </w:p>
        </w:tc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服务端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P0</w:t>
            </w:r>
          </w:p>
        </w:tc>
      </w:tr>
      <w:tr>
        <w:tc>
          <w:tcPr>
            <w:tcW w:type="dxa" w:w="2154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session_end</w:t>
            </w:r>
          </w:p>
        </w:tc>
        <w:tc>
          <w:tcPr>
            <w:tcW w:type="dxa" w:w="1360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会话</w:t>
            </w:r>
          </w:p>
        </w:tc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会话关闭或补算</w:t>
            </w:r>
          </w:p>
        </w:tc>
        <w:tc>
          <w:tcPr>
            <w:tcW w:type="dxa" w:w="317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duration_ms engaged_ms</w:t>
            </w:r>
          </w:p>
        </w:tc>
        <w:tc>
          <w:tcPr>
            <w:tcW w:type="dxa" w:w="175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系统</w:t>
            </w:r>
          </w:p>
        </w:tc>
        <w:tc>
          <w:tcPr>
            <w:tcW w:type="dxa" w:w="1247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3"/>
              </w:rPr>
              <w:t>P1</w:t>
            </w:r>
          </w:p>
        </w:tc>
      </w:tr>
    </w:tbl>
    <w:p>
      <w:pPr>
        <w:spacing w:after="20"/>
      </w:pP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附录二 配置清单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2268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配置组</w:t>
            </w:r>
          </w:p>
        </w:tc>
        <w:tc>
          <w:tcPr>
            <w:tcW w:type="dxa" w:w="538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关键配置</w:t>
            </w:r>
          </w:p>
        </w:tc>
        <w:tc>
          <w:tcPr>
            <w:tcW w:type="dxa" w:w="4649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默认基线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站点</w:t>
            </w:r>
          </w:p>
        </w:tc>
        <w:tc>
          <w:tcPr>
            <w:tcW w:type="dxa" w:w="538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允许域名 环境 时区 内部流量</w:t>
            </w:r>
          </w:p>
        </w:tc>
        <w:tc>
          <w:tcPr>
            <w:tcW w:type="dxa" w:w="464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明确白名单和站点时区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同意</w:t>
            </w:r>
          </w:p>
        </w:tc>
        <w:tc>
          <w:tcPr>
            <w:tcW w:type="dxa" w:w="538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用途 默认状态 CMP 映射</w:t>
            </w:r>
          </w:p>
        </w:tc>
        <w:tc>
          <w:tcPr>
            <w:tcW w:type="dxa" w:w="464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未知时不启动分析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身份</w:t>
            </w:r>
          </w:p>
        </w:tc>
        <w:tc>
          <w:tcPr>
            <w:tcW w:type="dxa" w:w="538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存储方式 Cookie 属性 会话超时 reset</w:t>
            </w:r>
          </w:p>
        </w:tc>
        <w:tc>
          <w:tcPr>
            <w:tcW w:type="dxa" w:w="464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第一方标识 30 分钟会话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页面</w:t>
            </w:r>
          </w:p>
        </w:tc>
        <w:tc>
          <w:tcPr>
            <w:tcW w:type="dxa" w:w="538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URL 允许参数 canonical SPA 去重</w:t>
            </w:r>
          </w:p>
        </w:tc>
        <w:tc>
          <w:tcPr>
            <w:tcW w:type="dxa" w:w="464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移除查询和片段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互动</w:t>
            </w:r>
          </w:p>
        </w:tc>
        <w:tc>
          <w:tcPr>
            <w:tcW w:type="dxa" w:w="538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点击规则 表单规则 私密选择器</w:t>
            </w:r>
          </w:p>
        </w:tc>
        <w:tc>
          <w:tcPr>
            <w:tcW w:type="dxa" w:w="464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全部关闭后逐项开启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传输</w:t>
            </w:r>
          </w:p>
        </w:tc>
        <w:tc>
          <w:tcPr>
            <w:tcW w:type="dxa" w:w="538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端点 批量 刷新 重试 队列</w:t>
            </w:r>
          </w:p>
        </w:tc>
        <w:tc>
          <w:tcPr>
            <w:tcW w:type="dxa" w:w="464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20 条或 48 KB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治理</w:t>
            </w:r>
          </w:p>
        </w:tc>
        <w:tc>
          <w:tcPr>
            <w:tcW w:type="dxa" w:w="538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事件模式 未知字段 行为</w:t>
            </w:r>
          </w:p>
        </w:tc>
        <w:tc>
          <w:tcPr>
            <w:tcW w:type="dxa" w:w="464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未知字段拒绝或隔离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保留</w:t>
            </w:r>
          </w:p>
        </w:tc>
        <w:tc>
          <w:tcPr>
            <w:tcW w:type="dxa" w:w="538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匿名 已识别 日志 导出 备份</w:t>
            </w:r>
          </w:p>
        </w:tc>
        <w:tc>
          <w:tcPr>
            <w:tcW w:type="dxa" w:w="464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按批准政策执行</w:t>
            </w:r>
          </w:p>
        </w:tc>
      </w:tr>
      <w:tr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安全</w:t>
            </w:r>
          </w:p>
        </w:tc>
        <w:tc>
          <w:tcPr>
            <w:tcW w:type="dxa" w:w="538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CORS CSP 密钥 限流 Webhook</w:t>
            </w:r>
          </w:p>
        </w:tc>
        <w:tc>
          <w:tcPr>
            <w:tcW w:type="dxa" w:w="4649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最小权限和定期轮换</w:t>
            </w:r>
          </w:p>
        </w:tc>
      </w:tr>
      <w:tr>
        <w:tc>
          <w:tcPr>
            <w:tcW w:type="dxa" w:w="2268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告警</w:t>
            </w:r>
          </w:p>
        </w:tc>
        <w:tc>
          <w:tcPr>
            <w:tcW w:type="dxa" w:w="538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接收 拒绝 迟到 积压 身份冲突</w:t>
            </w:r>
          </w:p>
        </w:tc>
        <w:tc>
          <w:tcPr>
            <w:tcW w:type="dxa" w:w="4649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以试点基线设阈值</w:t>
            </w:r>
          </w:p>
        </w:tc>
      </w:tr>
    </w:tbl>
    <w:p>
      <w:pPr>
        <w:spacing w:after="20"/>
      </w:pP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附录三 上线检查表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网站接入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SDK 异步加载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CSP 和域名正确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SPA 路由已验证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敏感页面和字段已屏蔽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登录 登出 账号切换正确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数据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事件目录已批准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核心事件已对账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时区和来源口径正确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重复与迟到在阈值内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服务端转化事件已签名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安全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租户隔离测试通过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管理员 MFA 生效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密钥已轮换演练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导出和删除需审批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无严重漏洞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隐私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告知和同意已批准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撤回立即生效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保留任务已启用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访问和删除演练通过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处理方清单完整</w:t>
      </w:r>
    </w:p>
    <w:p>
      <w:pPr>
        <w:pStyle w:val="Heading2"/>
      </w:pPr>
      <w:r>
        <w:rPr>
          <w:rFonts w:ascii="Microsoft YaHei" w:hAnsi="Microsoft YaHei" w:eastAsia="Microsoft YaHei"/>
          <w:b w:val="0"/>
          <w:color w:val="000000"/>
          <w:sz w:val="18"/>
        </w:rPr>
        <w:t>运维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仪表板和告警可用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值班和升级联系人已确认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数据库恢复已演练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SDK 和应用回滚已演练</w:t>
      </w:r>
    </w:p>
    <w:p>
      <w:pPr>
        <w:spacing w:after="60"/>
      </w:pPr>
      <w:r>
        <w:rPr>
          <w:rFonts w:ascii="Microsoft YaHei" w:hAnsi="Microsoft YaHei" w:eastAsia="Microsoft YaHei"/>
          <w:b w:val="0"/>
          <w:color w:val="000000"/>
          <w:sz w:val="18"/>
        </w:rPr>
        <w:t>☐ 容量余量满足峰值</w:t>
      </w: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附录四 参考依据</w:t>
      </w:r>
    </w:p>
    <w:p>
      <w:pPr>
        <w:spacing w:after="100"/>
      </w:pPr>
      <w:r>
        <w:rPr>
          <w:rFonts w:ascii="Microsoft YaHei" w:hAnsi="Microsoft YaHei" w:eastAsia="Microsoft YaHei"/>
          <w:b w:val="0"/>
          <w:color w:val="000000"/>
          <w:sz w:val="18"/>
        </w:rPr>
        <w:t>以下资料用于工程和合规设计基线。法律适用和最终控制要求仍需结合实际业务、地域和授权意见确认。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94"/>
        <w:gridCol w:w="3194"/>
        <w:gridCol w:w="3194"/>
      </w:tblGrid>
      <w:tr>
        <w:trPr>
          <w:tblHeader w:val="true"/>
        </w:trPr>
        <w:tc>
          <w:tcPr>
            <w:tcW w:type="dxa" w:w="2381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主题</w:t>
            </w:r>
          </w:p>
        </w:tc>
        <w:tc>
          <w:tcPr>
            <w:tcW w:type="dxa" w:w="385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来源</w:t>
            </w:r>
          </w:p>
        </w:tc>
        <w:tc>
          <w:tcPr>
            <w:tcW w:type="dxa" w:w="606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4"/>
              </w:rPr>
              <w:t>链接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个人信息保护</w:t>
            </w:r>
          </w:p>
        </w:tc>
        <w:tc>
          <w:tcPr>
            <w:tcW w:type="dxa" w:w="385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中华人民共和国个人信息保护法</w:t>
            </w:r>
          </w:p>
        </w:tc>
        <w:tc>
          <w:tcPr>
            <w:tcW w:type="dxa" w:w="606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https://www.npc.gov.cn/</w:t>
            </w:r>
          </w:p>
        </w:tc>
      </w:tr>
      <w:tr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个人信息保护</w:t>
            </w:r>
          </w:p>
        </w:tc>
        <w:tc>
          <w:tcPr>
            <w:tcW w:type="dxa" w:w="385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国家互联网信息办公室法规资料</w:t>
            </w:r>
          </w:p>
        </w:tc>
        <w:tc>
          <w:tcPr>
            <w:tcW w:type="dxa" w:w="606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https://www.cac.gov.cn/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欧盟数据保护</w:t>
            </w:r>
          </w:p>
        </w:tc>
        <w:tc>
          <w:tcPr>
            <w:tcW w:type="dxa" w:w="385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General Data Protection Regulation</w:t>
            </w:r>
          </w:p>
        </w:tc>
        <w:tc>
          <w:tcPr>
            <w:tcW w:type="dxa" w:w="606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https://eur-lex.europa.eu/eli/reg/2016/679/oj</w:t>
            </w:r>
          </w:p>
        </w:tc>
      </w:tr>
      <w:tr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API 安全</w:t>
            </w:r>
          </w:p>
        </w:tc>
        <w:tc>
          <w:tcPr>
            <w:tcW w:type="dxa" w:w="385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OWASP API Security Top 10 2023</w:t>
            </w:r>
          </w:p>
        </w:tc>
        <w:tc>
          <w:tcPr>
            <w:tcW w:type="dxa" w:w="606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https://api-security.owasp.org/editions/2023/en/0x00-header/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页面生命周期</w:t>
            </w:r>
          </w:p>
        </w:tc>
        <w:tc>
          <w:tcPr>
            <w:tcW w:type="dxa" w:w="385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MDN visibilitychange</w:t>
            </w:r>
          </w:p>
        </w:tc>
        <w:tc>
          <w:tcPr>
            <w:tcW w:type="dxa" w:w="606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https://developer.mozilla.org/en-US/docs/Web/API/Document/visibilitychange_event</w:t>
            </w:r>
          </w:p>
        </w:tc>
      </w:tr>
      <w:tr>
        <w:tc>
          <w:tcPr>
            <w:tcW w:type="dxa" w:w="2381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可靠发送</w:t>
            </w:r>
          </w:p>
        </w:tc>
        <w:tc>
          <w:tcPr>
            <w:tcW w:type="dxa" w:w="385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MDN Navigator sendBeacon</w:t>
            </w:r>
          </w:p>
        </w:tc>
        <w:tc>
          <w:tcPr>
            <w:tcW w:type="dxa" w:w="6066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https://developer.mozilla.org/en-US/docs/Web/API/Navigator/sendBeacon</w:t>
            </w:r>
          </w:p>
        </w:tc>
      </w:tr>
      <w:tr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浏览器存储</w:t>
            </w:r>
          </w:p>
        </w:tc>
        <w:tc>
          <w:tcPr>
            <w:tcW w:type="dxa" w:w="385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W3C Web Storage</w:t>
            </w:r>
          </w:p>
        </w:tc>
        <w:tc>
          <w:tcPr>
            <w:tcW w:type="dxa" w:w="606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4"/>
              </w:rPr>
              <w:t>https://www.w3.org/TR/webstorage/</w:t>
            </w:r>
          </w:p>
        </w:tc>
      </w:tr>
    </w:tbl>
    <w:p>
      <w:pPr>
        <w:spacing w:after="20"/>
      </w:pPr>
    </w:p>
    <w:p>
      <w:r>
        <w:rPr>
          <w:rFonts w:ascii="Microsoft YaHei" w:hAnsi="Microsoft YaHei" w:eastAsia="Microsoft YaHei"/>
          <w:b w:val="0"/>
          <w:color w:val="000000"/>
          <w:sz w:val="18"/>
        </w:rPr>
        <w:br w:type="page"/>
      </w:r>
    </w:p>
    <w:p>
      <w:pPr>
        <w:pStyle w:val="Heading1"/>
      </w:pPr>
      <w:r>
        <w:rPr>
          <w:rFonts w:ascii="Microsoft YaHei" w:hAnsi="Microsoft YaHei" w:eastAsia="Microsoft YaHei"/>
          <w:b w:val="0"/>
          <w:color w:val="000000"/>
          <w:sz w:val="18"/>
        </w:rPr>
        <w:t>附录五 术语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791"/>
        <w:gridCol w:w="4791"/>
      </w:tblGrid>
      <w:tr>
        <w:trPr>
          <w:tblHeader w:val="true"/>
        </w:trPr>
        <w:tc>
          <w:tcPr>
            <w:tcW w:type="dxa" w:w="283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术语</w:t>
            </w:r>
          </w:p>
        </w:tc>
        <w:tc>
          <w:tcPr>
            <w:tcW w:type="dxa" w:w="907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说明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访客</w:t>
            </w:r>
          </w:p>
        </w:tc>
        <w:tc>
          <w:tcPr>
            <w:tcW w:type="dxa" w:w="90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由浏览器匿名标识或确定性身份表示的访问主体</w:t>
            </w:r>
          </w:p>
        </w:tc>
      </w:tr>
      <w:tr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客户</w:t>
            </w:r>
          </w:p>
        </w:tc>
        <w:tc>
          <w:tcPr>
            <w:tcW w:type="dxa" w:w="90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至少具有一个经过验证或受控业务身份的 contact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会话</w:t>
            </w:r>
          </w:p>
        </w:tc>
        <w:tc>
          <w:tcPr>
            <w:tcW w:type="dxa" w:w="90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在约定无活动超时内的一组连续行为</w:t>
            </w:r>
          </w:p>
        </w:tc>
      </w:tr>
      <w:tr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事件</w:t>
            </w:r>
          </w:p>
        </w:tc>
        <w:tc>
          <w:tcPr>
            <w:tcW w:type="dxa" w:w="90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在某个时间发生、具有名称和结构化属性的事实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有效停留</w:t>
            </w:r>
          </w:p>
        </w:tc>
        <w:tc>
          <w:tcPr>
            <w:tcW w:type="dxa" w:w="90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页面可见且用户近期活跃时累计的时间</w:t>
            </w:r>
          </w:p>
        </w:tc>
      </w:tr>
      <w:tr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确定性身份</w:t>
            </w:r>
          </w:p>
        </w:tc>
        <w:tc>
          <w:tcPr>
            <w:tcW w:type="dxa" w:w="90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由登录、验证表单或服务端业务系统确认的身份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事件模式</w:t>
            </w:r>
          </w:p>
        </w:tc>
        <w:tc>
          <w:tcPr>
            <w:tcW w:type="dxa" w:w="90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事件名称、字段、类型、目的和版本的机器可验证定义</w:t>
            </w:r>
          </w:p>
        </w:tc>
      </w:tr>
      <w:tr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迟到事件</w:t>
            </w:r>
          </w:p>
        </w:tc>
        <w:tc>
          <w:tcPr>
            <w:tcW w:type="dxa" w:w="90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超过聚合水位线或允许到达窗口的事件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死信</w:t>
            </w:r>
          </w:p>
        </w:tc>
        <w:tc>
          <w:tcPr>
            <w:tcW w:type="dxa" w:w="907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超过重试上限、需要人工检查或重放的消息</w:t>
            </w:r>
          </w:p>
        </w:tc>
      </w:tr>
      <w:tr>
        <w:tc>
          <w:tcPr>
            <w:tcW w:type="dxa" w:w="2835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数据主体请求</w:t>
            </w:r>
          </w:p>
        </w:tc>
        <w:tc>
          <w:tcPr>
            <w:tcW w:type="dxa" w:w="9072"/>
            <w:shd w:fill="EEF4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9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个人对其数据提出访问、更正、删除等请求的工作流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62" w:bottom="1020" w:left="1162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Microsoft YaHei" w:hAnsi="Microsoft YaHei" w:eastAsia="Microsoft YaHei"/>
        <w:b w:val="0"/>
        <w:color w:val="666666"/>
        <w:sz w:val="16"/>
      </w:rPr>
      <w:t xml:space="preserve">实施基线版本 1.0    </w:t>
    </w:r>
    <w:r>
      <w:rPr>
        <w:rFonts w:ascii="Microsoft YaHei" w:hAnsi="Microsoft YaHei" w:eastAsia="Microsoft YaHei"/>
        <w:b w:val="0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Microsoft YaHei" w:hAnsi="Microsoft YaHei" w:eastAsia="Microsoft YaHei"/>
        <w:b w:val="0"/>
        <w:color w:val="666666"/>
        <w:sz w:val="16"/>
      </w:rPr>
      <w:t>客户行为数据采集平台完整项目实施方案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93" w:lineRule="auto"/>
    </w:pPr>
    <w:rPr>
      <w:rFonts w:ascii="Microsoft YaHei" w:hAnsi="Microsoft YaHei" w:eastAsia="Microsoft YaHei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8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客户行为数据采集平台完整项目实施方案</dc:title>
  <dc:subject>独立后台与网站 JS SDK 的产品 技术 安全 合规和交付实施基线</dc:subject>
  <dc:creator>项目组</dc:creator>
  <cp:keywords>客户行为采集 JS SDK 独立后台 数据平台 实施方案</cp:keywords>
  <dc:description>实施基线版本 1.0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