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0" w:after="360" w:line="276" w:lineRule="auto"/>
        <w:jc w:val="left"/>
      </w:pPr>
      <w:r>
        <w:rPr>
          <w:rFonts w:ascii="Aptos Display" w:hAnsi="Aptos Display" w:eastAsia="Microsoft YaHei"/>
          <w:b/>
          <w:color w:val="000000"/>
          <w:sz w:val="52"/>
        </w:rPr>
        <w:t>客户行为数据采集平台</w:t>
        <w:br/>
        <w:t>方案实施报告</w:t>
      </w:r>
    </w:p>
    <w:p>
      <w:pPr>
        <w:spacing w:before="0" w:after="640" w:line="312" w:lineRule="auto"/>
      </w:pPr>
      <w:r>
        <w:rPr>
          <w:rFonts w:ascii="Aptos" w:hAnsi="Aptos" w:eastAsia="Microsoft YaHei"/>
          <w:color w:val="595959"/>
          <w:sz w:val="26"/>
        </w:rPr>
        <w:t>独立数据后台与通用 JS SDK</w:t>
      </w:r>
    </w:p>
    <w:p>
      <w:pPr>
        <w:spacing w:before="0" w:after="140" w:line="300" w:lineRule="auto"/>
      </w:pPr>
      <w:r>
        <w:rPr>
          <w:rFonts w:ascii="Aptos" w:hAnsi="Aptos" w:eastAsia="Microsoft YaHei"/>
          <w:b/>
          <w:color w:val="1F1F1F"/>
          <w:sz w:val="20"/>
        </w:rPr>
        <w:t xml:space="preserve">文档版本  </w:t>
      </w:r>
      <w:r>
        <w:rPr>
          <w:rFonts w:ascii="Aptos" w:hAnsi="Aptos" w:eastAsia="Microsoft YaHei"/>
          <w:color w:val="595959"/>
          <w:sz w:val="20"/>
        </w:rPr>
        <w:t>1.0</w:t>
      </w:r>
    </w:p>
    <w:p>
      <w:pPr>
        <w:spacing w:before="0" w:after="140" w:line="300" w:lineRule="auto"/>
      </w:pPr>
      <w:r>
        <w:rPr>
          <w:rFonts w:ascii="Aptos" w:hAnsi="Aptos" w:eastAsia="Microsoft YaHei"/>
          <w:b/>
          <w:color w:val="1F1F1F"/>
          <w:sz w:val="20"/>
        </w:rPr>
        <w:t xml:space="preserve">编制日期  </w:t>
      </w:r>
      <w:r>
        <w:rPr>
          <w:rFonts w:ascii="Aptos" w:hAnsi="Aptos" w:eastAsia="Microsoft YaHei"/>
          <w:color w:val="595959"/>
          <w:sz w:val="20"/>
        </w:rPr>
        <w:t>2026 年 9 月 14 日</w:t>
      </w:r>
    </w:p>
    <w:p>
      <w:pPr>
        <w:spacing w:before="0" w:after="140" w:line="300" w:lineRule="auto"/>
      </w:pPr>
      <w:r>
        <w:rPr>
          <w:rFonts w:ascii="Aptos" w:hAnsi="Aptos" w:eastAsia="Microsoft YaHei"/>
          <w:b/>
          <w:color w:val="1F1F1F"/>
          <w:sz w:val="20"/>
        </w:rPr>
        <w:t xml:space="preserve">适用对象  </w:t>
      </w:r>
      <w:r>
        <w:rPr>
          <w:rFonts w:ascii="Aptos" w:hAnsi="Aptos" w:eastAsia="Microsoft YaHei"/>
          <w:color w:val="595959"/>
          <w:sz w:val="20"/>
        </w:rPr>
        <w:t>项目决策人 产品团队 开发团队 测试与运维团队</w:t>
      </w:r>
    </w:p>
    <w:p>
      <w:pPr>
        <w:spacing w:before="0" w:after="140" w:line="300" w:lineRule="auto"/>
      </w:pPr>
      <w:r>
        <w:rPr>
          <w:rFonts w:ascii="Aptos" w:hAnsi="Aptos" w:eastAsia="Microsoft YaHei"/>
          <w:b/>
          <w:color w:val="1F1F1F"/>
          <w:sz w:val="20"/>
        </w:rPr>
        <w:t xml:space="preserve">实施范围  </w:t>
      </w:r>
      <w:r>
        <w:rPr>
          <w:rFonts w:ascii="Aptos" w:hAnsi="Aptos" w:eastAsia="Microsoft YaHei"/>
          <w:color w:val="595959"/>
          <w:sz w:val="20"/>
        </w:rPr>
        <w:t>网站接入 SDK 独立采集服务 独立数据库 独立管理后台</w:t>
      </w:r>
    </w:p>
    <w:p>
      <w:pPr>
        <w:spacing w:before="0" w:after="0" w:line="312" w:lineRule="auto"/>
      </w:pPr>
      <w:r>
        <w:rPr>
          <w:rFonts w:ascii="Aptos" w:hAnsi="Aptos" w:eastAsia="Microsoft YaHei"/>
          <w:color w:val="595959"/>
          <w:sz w:val="18"/>
        </w:rPr>
        <w:t>本报告用于确定产品边界、技术路线、实施顺序和验收标准。工期与容量指标为规划基线，应在需求确认和压力测试后冻结。</w:t>
      </w:r>
    </w:p>
    <w:p>
      <w:r>
        <w:br w:type="page"/>
      </w:r>
    </w:p>
    <w:p>
      <w:pPr>
        <w:pStyle w:val="Heading1"/>
        <w:keepNext/>
        <w:keepLines/>
      </w:pPr>
      <w:r>
        <w:rPr>
          <w:rFonts w:ascii="Aptos Display" w:hAnsi="Aptos Display" w:eastAsia="Microsoft YaHei"/>
          <w:color w:val="000000"/>
        </w:rPr>
        <w:t>执行摘要</w:t>
      </w:r>
    </w:p>
    <w:p>
      <w:pPr>
        <w:spacing w:before="0" w:after="120" w:line="341" w:lineRule="auto"/>
        <w:ind w:firstLine="420"/>
      </w:pPr>
      <w:r>
        <w:rPr>
          <w:rFonts w:ascii="Aptos" w:hAnsi="Aptos" w:eastAsia="Microsoft YaHei"/>
          <w:color w:val="1F1F1F"/>
          <w:sz w:val="21"/>
        </w:rPr>
        <w:t>建议建设一套独立的第一方客户行为数据平台。网站通过通用 JavaScript SDK 接入，行为数据直接发送到独立采集服务并写入独立数据库，客户资料和行为轨迹在独立管理后台查询。核心系统不依赖 WordPress；如未来需要降低 WordPress 网站的安装门槛，可再开发只负责加载 SDK 和转发服务端事件的连接器。</w:t>
      </w:r>
    </w:p>
    <w:p>
      <w:pPr>
        <w:spacing w:before="0" w:after="120" w:line="341" w:lineRule="auto"/>
        <w:ind w:firstLine="420"/>
      </w:pPr>
      <w:r>
        <w:rPr>
          <w:rFonts w:ascii="Aptos" w:hAnsi="Aptos" w:eastAsia="Microsoft YaHei"/>
          <w:color w:val="1F1F1F"/>
          <w:sz w:val="21"/>
        </w:rPr>
        <w:t>第一阶段应完成可验证的业务闭环：匿名访客跨天识别、页面及关键交互采集、有效停留计算、登录或表单后的身份合并、客户时间线、数据导出删除、权限和审计。支付、退款、注册成功等关键业务事件必须通过网站服务端签名接口上报，不能以浏览器事件作为事实依据。</w:t>
      </w:r>
    </w:p>
    <w:p>
      <w:pPr>
        <w:spacing w:before="0" w:after="120" w:line="341" w:lineRule="auto"/>
        <w:ind w:firstLine="420"/>
      </w:pPr>
      <w:r>
        <w:rPr>
          <w:rFonts w:ascii="Aptos" w:hAnsi="Aptos" w:eastAsia="Microsoft YaHei"/>
          <w:color w:val="1F1F1F"/>
          <w:sz w:val="21"/>
        </w:rPr>
        <w:t>架构上采用模块化单体起步。管理后台使用 React 或 Next.js，业务及采集 API 使用 Node.js 技术栈，PostgreSQL 保存配置、身份、会话和早期事件，Redis承担限流、缓存和异步任务。所有核心数据从第一天带 organization_id 和 site_id，为多网站及未来 SaaS 化保留扩展空间。事件规模达到压力测试确定的阈值后，再将分析事件迁移到 ClickHouse 等列式存储。</w:t>
      </w:r>
    </w:p>
    <w:tbl>
      <w:tblPr>
        <w:tblW w:type="auto" w:w="0"/>
        <w:jc w:val="center"/>
        <w:tblLayout w:type="fixed"/>
        <w:tblLook w:firstColumn="1" w:firstRow="1" w:lastColumn="0" w:lastRow="0" w:noHBand="0" w:noVBand="1" w:val="04A0"/>
      </w:tblPr>
      <w:tblGrid>
        <w:gridCol w:w="3081"/>
        <w:gridCol w:w="3081"/>
        <w:gridCol w:w="3081"/>
      </w:tblGrid>
      <w:tr>
        <w:trPr>
          <w:tblHeader w:val="true"/>
          <w:cantSplit w:val="true"/>
        </w:trPr>
        <w:tc>
          <w:tcPr>
            <w:tcW w:type="dxa" w:w="1701"/>
            <w:shd w:fill="17365D"/>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76" w:lineRule="auto"/>
              <w:jc w:val="center"/>
            </w:pPr>
            <w:r/>
            <w:r>
              <w:rPr>
                <w:rFonts w:ascii="Aptos" w:hAnsi="Aptos" w:eastAsia="Microsoft YaHei"/>
                <w:b/>
                <w:color w:val="FFFFFF"/>
                <w:sz w:val="18"/>
              </w:rPr>
              <w:t>决策项</w:t>
            </w:r>
          </w:p>
        </w:tc>
        <w:tc>
          <w:tcPr>
            <w:tcW w:type="dxa" w:w="2665"/>
            <w:shd w:fill="17365D"/>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76" w:lineRule="auto"/>
              <w:jc w:val="center"/>
            </w:pPr>
            <w:r/>
            <w:r>
              <w:rPr>
                <w:rFonts w:ascii="Aptos" w:hAnsi="Aptos" w:eastAsia="Microsoft YaHei"/>
                <w:b/>
                <w:color w:val="FFFFFF"/>
                <w:sz w:val="18"/>
              </w:rPr>
              <w:t>建议方案</w:t>
            </w:r>
          </w:p>
        </w:tc>
        <w:tc>
          <w:tcPr>
            <w:tcW w:type="dxa" w:w="4535"/>
            <w:shd w:fill="17365D"/>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76" w:lineRule="auto"/>
              <w:jc w:val="center"/>
            </w:pPr>
            <w:r/>
            <w:r>
              <w:rPr>
                <w:rFonts w:ascii="Aptos" w:hAnsi="Aptos" w:eastAsia="Microsoft YaHei"/>
                <w:b/>
                <w:color w:val="FFFFFF"/>
                <w:sz w:val="18"/>
              </w:rPr>
              <w:t>实施原因</w:t>
            </w:r>
          </w:p>
        </w:tc>
      </w:tr>
      <w:tr>
        <w:trPr>
          <w:cantSplit w:val="true"/>
        </w:trPr>
        <w:tc>
          <w:tcPr>
            <w:tcW w:type="dxa" w:w="1701"/>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8"/>
              </w:rPr>
              <w:t>接入方式</w:t>
            </w:r>
          </w:p>
        </w:tc>
        <w:tc>
          <w:tcPr>
            <w:tcW w:type="dxa" w:w="2665"/>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8"/>
              </w:rPr>
              <w:t>通用 JS SDK</w:t>
            </w:r>
          </w:p>
        </w:tc>
        <w:tc>
          <w:tcPr>
            <w:tcW w:type="dxa" w:w="4535"/>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8"/>
              </w:rPr>
              <w:t>适用于 WordPress 和其他网站，减少平台绑定</w:t>
            </w:r>
          </w:p>
        </w:tc>
      </w:tr>
      <w:tr>
        <w:trPr>
          <w:cantSplit w:val="true"/>
        </w:trPr>
        <w:tc>
          <w:tcPr>
            <w:tcW w:type="dxa" w:w="1701"/>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8"/>
              </w:rPr>
              <w:t>数据存储</w:t>
            </w:r>
          </w:p>
        </w:tc>
        <w:tc>
          <w:tcPr>
            <w:tcW w:type="dxa" w:w="2665"/>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8"/>
              </w:rPr>
              <w:t>独立后台</w:t>
            </w:r>
          </w:p>
        </w:tc>
        <w:tc>
          <w:tcPr>
            <w:tcW w:type="dxa" w:w="4535"/>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8"/>
              </w:rPr>
              <w:t>客户轨迹不写入业务网站数据库</w:t>
            </w:r>
          </w:p>
        </w:tc>
      </w:tr>
      <w:tr>
        <w:trPr>
          <w:cantSplit w:val="true"/>
        </w:trPr>
        <w:tc>
          <w:tcPr>
            <w:tcW w:type="dxa" w:w="1701"/>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8"/>
              </w:rPr>
              <w:t>开发形态</w:t>
            </w:r>
          </w:p>
        </w:tc>
        <w:tc>
          <w:tcPr>
            <w:tcW w:type="dxa" w:w="2665"/>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8"/>
              </w:rPr>
              <w:t>模块化单体</w:t>
            </w:r>
          </w:p>
        </w:tc>
        <w:tc>
          <w:tcPr>
            <w:tcW w:type="dxa" w:w="4535"/>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8"/>
              </w:rPr>
              <w:t>先降低交付和运维复杂度，按负载再拆分</w:t>
            </w:r>
          </w:p>
        </w:tc>
      </w:tr>
      <w:tr>
        <w:trPr>
          <w:cantSplit w:val="true"/>
        </w:trPr>
        <w:tc>
          <w:tcPr>
            <w:tcW w:type="dxa" w:w="1701"/>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8"/>
              </w:rPr>
              <w:t>身份识别</w:t>
            </w:r>
          </w:p>
        </w:tc>
        <w:tc>
          <w:tcPr>
            <w:tcW w:type="dxa" w:w="2665"/>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8"/>
              </w:rPr>
              <w:t>确定性合并</w:t>
            </w:r>
          </w:p>
        </w:tc>
        <w:tc>
          <w:tcPr>
            <w:tcW w:type="dxa" w:w="4535"/>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8"/>
              </w:rPr>
              <w:t>使用登录、已验证邮箱、外部用户 ID 或签名令牌</w:t>
            </w:r>
          </w:p>
        </w:tc>
      </w:tr>
      <w:tr>
        <w:trPr>
          <w:cantSplit w:val="true"/>
        </w:trPr>
        <w:tc>
          <w:tcPr>
            <w:tcW w:type="dxa" w:w="1701"/>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8"/>
              </w:rPr>
              <w:t>事件可信度</w:t>
            </w:r>
          </w:p>
        </w:tc>
        <w:tc>
          <w:tcPr>
            <w:tcW w:type="dxa" w:w="2665"/>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8"/>
              </w:rPr>
              <w:t>浏览器行为加服务端业务事件</w:t>
            </w:r>
          </w:p>
        </w:tc>
        <w:tc>
          <w:tcPr>
            <w:tcW w:type="dxa" w:w="4535"/>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8"/>
              </w:rPr>
              <w:t>区分观察到的行为和已确认的业务事实</w:t>
            </w:r>
          </w:p>
        </w:tc>
      </w:tr>
      <w:tr>
        <w:trPr>
          <w:cantSplit w:val="true"/>
        </w:trPr>
        <w:tc>
          <w:tcPr>
            <w:tcW w:type="dxa" w:w="1701"/>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8"/>
              </w:rPr>
              <w:t>数据原则</w:t>
            </w:r>
          </w:p>
        </w:tc>
        <w:tc>
          <w:tcPr>
            <w:tcW w:type="dxa" w:w="2665"/>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8"/>
              </w:rPr>
              <w:t>分级授权与最小必要</w:t>
            </w:r>
          </w:p>
        </w:tc>
        <w:tc>
          <w:tcPr>
            <w:tcW w:type="dxa" w:w="4535"/>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8"/>
              </w:rPr>
              <w:t>提高可用性并控制个人信息风险</w:t>
            </w:r>
          </w:p>
        </w:tc>
      </w:tr>
    </w:tbl>
    <w:p>
      <w:pPr>
        <w:spacing w:before="0" w:after="40" w:line="240" w:lineRule="auto"/>
      </w:pPr>
    </w:p>
    <w:p>
      <w:pPr>
        <w:pStyle w:val="Heading2"/>
        <w:keepNext/>
        <w:keepLines/>
      </w:pPr>
      <w:r>
        <w:rPr>
          <w:rFonts w:ascii="Aptos Display" w:hAnsi="Aptos Display" w:eastAsia="Microsoft YaHei"/>
          <w:color w:val="000000"/>
        </w:rPr>
        <w:t>建议实施结果</w:t>
      </w:r>
    </w:p>
    <w:p>
      <w:pPr>
        <w:pStyle w:val="ListBullet"/>
        <w:keepNext w:val="0"/>
        <w:keepLines/>
        <w:spacing w:before="0" w:after="60" w:line="312" w:lineRule="auto"/>
        <w:ind w:left="425" w:hanging="198"/>
      </w:pPr>
      <w:r>
        <w:rPr>
          <w:rFonts w:ascii="Aptos" w:hAnsi="Aptos" w:eastAsia="Microsoft YaHei"/>
          <w:color w:val="1F1F1F"/>
          <w:sz w:val="20"/>
        </w:rPr>
        <w:t>网站仅需加载 SDK 即可获得页面浏览、来源、停留、滚动、点击和自定义事件。</w:t>
      </w:r>
    </w:p>
    <w:p>
      <w:pPr>
        <w:pStyle w:val="ListBullet"/>
        <w:keepNext w:val="0"/>
        <w:keepLines/>
        <w:spacing w:before="0" w:after="60" w:line="312" w:lineRule="auto"/>
        <w:ind w:left="425" w:hanging="198"/>
      </w:pPr>
      <w:r>
        <w:rPr>
          <w:rFonts w:ascii="Aptos" w:hAnsi="Aptos" w:eastAsia="Microsoft YaHei"/>
          <w:color w:val="1F1F1F"/>
          <w:sz w:val="20"/>
        </w:rPr>
        <w:t>客户提交表单或登录后，系统将同一匿名访客的历史行为合并到客户档案。</w:t>
      </w:r>
    </w:p>
    <w:p>
      <w:pPr>
        <w:pStyle w:val="ListBullet"/>
        <w:keepNext w:val="0"/>
        <w:keepLines/>
        <w:spacing w:before="0" w:after="60" w:line="312" w:lineRule="auto"/>
        <w:ind w:left="425" w:hanging="198"/>
      </w:pPr>
      <w:r>
        <w:rPr>
          <w:rFonts w:ascii="Aptos" w:hAnsi="Aptos" w:eastAsia="Microsoft YaHei"/>
          <w:color w:val="1F1F1F"/>
          <w:sz w:val="20"/>
        </w:rPr>
        <w:t>管理后台按网站、客户、会话和事件查询，并提供来源、转化和活跃度指标。</w:t>
      </w:r>
    </w:p>
    <w:p>
      <w:pPr>
        <w:pStyle w:val="ListBullet"/>
        <w:keepNext w:val="0"/>
        <w:keepLines/>
        <w:spacing w:before="0" w:after="60" w:line="312" w:lineRule="auto"/>
        <w:ind w:left="425" w:hanging="198"/>
      </w:pPr>
      <w:r>
        <w:rPr>
          <w:rFonts w:ascii="Aptos" w:hAnsi="Aptos" w:eastAsia="Microsoft YaHei"/>
          <w:color w:val="1F1F1F"/>
          <w:sz w:val="20"/>
        </w:rPr>
        <w:t>系统保留同意记录、数据保留期限、个人数据导出删除和管理员审计记录。</w:t>
      </w:r>
    </w:p>
    <w:p>
      <w:pPr>
        <w:pStyle w:val="ListBullet"/>
        <w:keepNext w:val="0"/>
        <w:keepLines/>
        <w:spacing w:before="0" w:after="60" w:line="312" w:lineRule="auto"/>
        <w:ind w:left="425" w:hanging="198"/>
      </w:pPr>
      <w:r>
        <w:rPr>
          <w:rFonts w:ascii="Aptos" w:hAnsi="Aptos" w:eastAsia="Microsoft YaHei"/>
          <w:color w:val="1F1F1F"/>
          <w:sz w:val="20"/>
        </w:rPr>
        <w:t>核心系统可以私有部署，后续也可以扩展为面向多个客户的多租户产品。</w:t>
      </w:r>
    </w:p>
    <w:p>
      <w:pPr>
        <w:pStyle w:val="Heading1"/>
        <w:keepNext/>
        <w:keepLines/>
      </w:pPr>
      <w:r>
        <w:rPr>
          <w:rFonts w:ascii="Aptos Display" w:hAnsi="Aptos Display" w:eastAsia="Microsoft YaHei"/>
          <w:color w:val="000000"/>
        </w:rPr>
        <w:t>1 项目目标和范围</w:t>
      </w:r>
    </w:p>
    <w:p>
      <w:pPr>
        <w:pStyle w:val="Heading2"/>
        <w:keepNext/>
        <w:keepLines/>
      </w:pPr>
      <w:r>
        <w:rPr>
          <w:rFonts w:ascii="Aptos Display" w:hAnsi="Aptos Display" w:eastAsia="Microsoft YaHei"/>
          <w:color w:val="000000"/>
        </w:rPr>
        <w:t>1 1 建设目标</w:t>
      </w:r>
    </w:p>
    <w:p>
      <w:pPr>
        <w:spacing w:before="0" w:after="120" w:line="341" w:lineRule="auto"/>
        <w:ind w:firstLine="420"/>
      </w:pPr>
      <w:r>
        <w:rPr>
          <w:rFonts w:ascii="Aptos" w:hAnsi="Aptos" w:eastAsia="Microsoft YaHei"/>
          <w:color w:val="1F1F1F"/>
          <w:sz w:val="21"/>
        </w:rPr>
        <w:t>本项目的目标是持续记录网站访客从首次匿名访问到成为线索、注册用户或付费客户的完整旅程，并将分散的页面行为、会话、来源、身份及业务结果统一到独立后台。系统需要回答客户从哪里来、看过什么、何时回访、投入了多少有效时间、在哪一步转化或流失，以及销售或运营人员下一步应关注什么。</w:t>
      </w:r>
    </w:p>
    <w:p>
      <w:pPr>
        <w:spacing w:before="0" w:after="80" w:line="317" w:lineRule="auto"/>
        <w:ind w:left="465" w:hanging="238"/>
      </w:pPr>
      <w:r>
        <w:rPr>
          <w:rFonts w:ascii="Aptos" w:hAnsi="Aptos" w:eastAsia="Microsoft YaHei"/>
          <w:color w:val="1F1F1F"/>
          <w:sz w:val="20"/>
        </w:rPr>
        <w:t>1. 建立可在多个网站复用的轻量 JS SDK。</w:t>
      </w:r>
    </w:p>
    <w:p>
      <w:pPr>
        <w:spacing w:before="0" w:after="80" w:line="317" w:lineRule="auto"/>
        <w:ind w:left="465" w:hanging="238"/>
      </w:pPr>
      <w:r>
        <w:rPr>
          <w:rFonts w:ascii="Aptos" w:hAnsi="Aptos" w:eastAsia="Microsoft YaHei"/>
          <w:color w:val="1F1F1F"/>
          <w:sz w:val="20"/>
        </w:rPr>
        <w:t>2. 建立高可用的事件采集、校验、去重、会话化和身份合并能力。</w:t>
      </w:r>
    </w:p>
    <w:p>
      <w:pPr>
        <w:spacing w:before="0" w:after="80" w:line="317" w:lineRule="auto"/>
        <w:ind w:left="465" w:hanging="238"/>
      </w:pPr>
      <w:r>
        <w:rPr>
          <w:rFonts w:ascii="Aptos" w:hAnsi="Aptos" w:eastAsia="Microsoft YaHei"/>
          <w:color w:val="1F1F1F"/>
          <w:sz w:val="20"/>
        </w:rPr>
        <w:t>3. 建立与网站数据库解耦的独立数据存储和管理后台。</w:t>
      </w:r>
    </w:p>
    <w:p>
      <w:pPr>
        <w:spacing w:before="0" w:after="80" w:line="317" w:lineRule="auto"/>
        <w:ind w:left="465" w:hanging="238"/>
      </w:pPr>
      <w:r>
        <w:rPr>
          <w:rFonts w:ascii="Aptos" w:hAnsi="Aptos" w:eastAsia="Microsoft YaHei"/>
          <w:color w:val="1F1F1F"/>
          <w:sz w:val="20"/>
        </w:rPr>
        <w:t>4. 建立可解释的客户时间线、来源分析和转化指标。</w:t>
      </w:r>
    </w:p>
    <w:p>
      <w:pPr>
        <w:spacing w:before="0" w:after="80" w:line="317" w:lineRule="auto"/>
        <w:ind w:left="465" w:hanging="238"/>
      </w:pPr>
      <w:r>
        <w:rPr>
          <w:rFonts w:ascii="Aptos" w:hAnsi="Aptos" w:eastAsia="Microsoft YaHei"/>
          <w:color w:val="1F1F1F"/>
          <w:sz w:val="20"/>
        </w:rPr>
        <w:t>5. 建立数据授权、访问控制、保留、导出、删除和审计机制。</w:t>
      </w:r>
    </w:p>
    <w:p>
      <w:pPr>
        <w:pStyle w:val="Heading2"/>
        <w:keepNext/>
        <w:keepLines/>
      </w:pPr>
      <w:r>
        <w:rPr>
          <w:rFonts w:ascii="Aptos Display" w:hAnsi="Aptos Display" w:eastAsia="Microsoft YaHei"/>
          <w:color w:val="000000"/>
        </w:rPr>
        <w:t>1 2 第一阶段范围</w:t>
      </w:r>
    </w:p>
    <w:tbl>
      <w:tblPr>
        <w:tblW w:type="auto" w:w="0"/>
        <w:jc w:val="center"/>
        <w:tblLayout w:type="fixed"/>
        <w:tblLook w:firstColumn="1" w:firstRow="1" w:lastColumn="0" w:lastRow="0" w:noHBand="0" w:noVBand="1" w:val="04A0"/>
      </w:tblPr>
      <w:tblGrid>
        <w:gridCol w:w="3081"/>
        <w:gridCol w:w="3081"/>
        <w:gridCol w:w="3081"/>
      </w:tblGrid>
      <w:tr>
        <w:trPr>
          <w:tblHeader w:val="true"/>
          <w:cantSplit w:val="true"/>
        </w:trPr>
        <w:tc>
          <w:tcPr>
            <w:tcW w:type="dxa" w:w="1361"/>
            <w:shd w:fill="17365D"/>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76" w:lineRule="auto"/>
              <w:jc w:val="center"/>
            </w:pPr>
            <w:r/>
            <w:r>
              <w:rPr>
                <w:rFonts w:ascii="Aptos" w:hAnsi="Aptos" w:eastAsia="Microsoft YaHei"/>
                <w:b/>
                <w:color w:val="FFFFFF"/>
                <w:sz w:val="18"/>
              </w:rPr>
              <w:t>范围</w:t>
            </w:r>
          </w:p>
        </w:tc>
        <w:tc>
          <w:tcPr>
            <w:tcW w:type="dxa" w:w="3770"/>
            <w:shd w:fill="17365D"/>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76" w:lineRule="auto"/>
              <w:jc w:val="center"/>
            </w:pPr>
            <w:r/>
            <w:r>
              <w:rPr>
                <w:rFonts w:ascii="Aptos" w:hAnsi="Aptos" w:eastAsia="Microsoft YaHei"/>
                <w:b/>
                <w:color w:val="FFFFFF"/>
                <w:sz w:val="18"/>
              </w:rPr>
              <w:t>第一阶段包含</w:t>
            </w:r>
          </w:p>
        </w:tc>
        <w:tc>
          <w:tcPr>
            <w:tcW w:type="dxa" w:w="3770"/>
            <w:shd w:fill="17365D"/>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76" w:lineRule="auto"/>
              <w:jc w:val="center"/>
            </w:pPr>
            <w:r/>
            <w:r>
              <w:rPr>
                <w:rFonts w:ascii="Aptos" w:hAnsi="Aptos" w:eastAsia="Microsoft YaHei"/>
                <w:b/>
                <w:color w:val="FFFFFF"/>
                <w:sz w:val="18"/>
              </w:rPr>
              <w:t>第一阶段不包含</w:t>
            </w:r>
          </w:p>
        </w:tc>
      </w:tr>
      <w:tr>
        <w:trPr>
          <w:cantSplit w:val="true"/>
        </w:trPr>
        <w:tc>
          <w:tcPr>
            <w:tcW w:type="dxa" w:w="1361"/>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采集</w:t>
            </w:r>
          </w:p>
        </w:tc>
        <w:tc>
          <w:tcPr>
            <w:tcW w:type="dxa" w:w="3770"/>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页面 浏览来源 有效停留 滚动 关键点击 表单状态 自定义事件</w:t>
            </w:r>
          </w:p>
        </w:tc>
        <w:tc>
          <w:tcPr>
            <w:tcW w:type="dxa" w:w="3770"/>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键盘记录 页面录屏 浏览器指纹 跨网站追踪</w:t>
            </w:r>
          </w:p>
        </w:tc>
      </w:tr>
      <w:tr>
        <w:trPr>
          <w:cantSplit w:val="true"/>
        </w:trPr>
        <w:tc>
          <w:tcPr>
            <w:tcW w:type="dxa" w:w="1361"/>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身份</w:t>
            </w:r>
          </w:p>
        </w:tc>
        <w:tc>
          <w:tcPr>
            <w:tcW w:type="dxa" w:w="3770"/>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匿名 ID 登录用户 ID 已验证邮箱或手机号 外部客户 ID</w:t>
            </w:r>
          </w:p>
        </w:tc>
        <w:tc>
          <w:tcPr>
            <w:tcW w:type="dxa" w:w="3770"/>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仅凭 IP 或设备特征推断为同一人</w:t>
            </w:r>
          </w:p>
        </w:tc>
      </w:tr>
      <w:tr>
        <w:trPr>
          <w:cantSplit w:val="true"/>
        </w:trPr>
        <w:tc>
          <w:tcPr>
            <w:tcW w:type="dxa" w:w="1361"/>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分析</w:t>
            </w:r>
          </w:p>
        </w:tc>
        <w:tc>
          <w:tcPr>
            <w:tcW w:type="dxa" w:w="3770"/>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客户时间线 会话 来源 活跃度 基础转化</w:t>
            </w:r>
          </w:p>
        </w:tc>
        <w:tc>
          <w:tcPr>
            <w:tcW w:type="dxa" w:w="3770"/>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复杂归因算法 AI 自动营销</w:t>
            </w:r>
          </w:p>
        </w:tc>
      </w:tr>
      <w:tr>
        <w:trPr>
          <w:cantSplit w:val="true"/>
        </w:trPr>
        <w:tc>
          <w:tcPr>
            <w:tcW w:type="dxa" w:w="1361"/>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后台</w:t>
            </w:r>
          </w:p>
        </w:tc>
        <w:tc>
          <w:tcPr>
            <w:tcW w:type="dxa" w:w="3770"/>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组织 网站 成员 权限 客户 事件 导出 删除 审计</w:t>
            </w:r>
          </w:p>
        </w:tc>
        <w:tc>
          <w:tcPr>
            <w:tcW w:type="dxa" w:w="3770"/>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计费系统 大型生态市场</w:t>
            </w:r>
          </w:p>
        </w:tc>
      </w:tr>
      <w:tr>
        <w:trPr>
          <w:cantSplit w:val="true"/>
        </w:trPr>
        <w:tc>
          <w:tcPr>
            <w:tcW w:type="dxa" w:w="1361"/>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部署</w:t>
            </w:r>
          </w:p>
        </w:tc>
        <w:tc>
          <w:tcPr>
            <w:tcW w:type="dxa" w:w="3770"/>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单区域私有部署 可扩展多租户</w:t>
            </w:r>
          </w:p>
        </w:tc>
        <w:tc>
          <w:tcPr>
            <w:tcW w:type="dxa" w:w="3770"/>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第一阶段多区域双活</w:t>
            </w:r>
          </w:p>
        </w:tc>
      </w:tr>
    </w:tbl>
    <w:p>
      <w:pPr>
        <w:spacing w:before="0" w:after="40" w:line="240" w:lineRule="auto"/>
      </w:pPr>
    </w:p>
    <w:p>
      <w:pPr>
        <w:pStyle w:val="Heading2"/>
        <w:keepNext/>
        <w:keepLines/>
      </w:pPr>
      <w:r>
        <w:rPr>
          <w:rFonts w:ascii="Aptos Display" w:hAnsi="Aptos Display" w:eastAsia="Microsoft YaHei"/>
          <w:color w:val="000000"/>
        </w:rPr>
        <w:t>1 3 规划假设</w:t>
      </w:r>
    </w:p>
    <w:p>
      <w:pPr>
        <w:pStyle w:val="ListBullet"/>
        <w:keepNext w:val="0"/>
        <w:keepLines/>
        <w:spacing w:before="0" w:after="60" w:line="312" w:lineRule="auto"/>
        <w:ind w:left="425" w:hanging="198"/>
      </w:pPr>
      <w:r>
        <w:rPr>
          <w:rFonts w:ascii="Aptos" w:hAnsi="Aptos" w:eastAsia="Microsoft YaHei"/>
          <w:color w:val="1F1F1F"/>
          <w:sz w:val="20"/>
        </w:rPr>
        <w:t>首个上线对象为一个或少量网站，系统从数据结构上支持多组织和多网站。</w:t>
      </w:r>
    </w:p>
    <w:p>
      <w:pPr>
        <w:pStyle w:val="ListBullet"/>
        <w:keepNext w:val="0"/>
        <w:keepLines/>
        <w:spacing w:before="0" w:after="60" w:line="312" w:lineRule="auto"/>
        <w:ind w:left="425" w:hanging="198"/>
      </w:pPr>
      <w:r>
        <w:rPr>
          <w:rFonts w:ascii="Aptos" w:hAnsi="Aptos" w:eastAsia="Microsoft YaHei"/>
          <w:color w:val="1F1F1F"/>
          <w:sz w:val="20"/>
        </w:rPr>
        <w:t>网站允许插入一段异步加载脚本，并能在登录、注册、询盘或支付完成时调用服务端 API。</w:t>
      </w:r>
    </w:p>
    <w:p>
      <w:pPr>
        <w:pStyle w:val="ListBullet"/>
        <w:keepNext w:val="0"/>
        <w:keepLines/>
        <w:spacing w:before="0" w:after="60" w:line="312" w:lineRule="auto"/>
        <w:ind w:left="425" w:hanging="198"/>
      </w:pPr>
      <w:r>
        <w:rPr>
          <w:rFonts w:ascii="Aptos" w:hAnsi="Aptos" w:eastAsia="Microsoft YaHei"/>
          <w:color w:val="1F1F1F"/>
          <w:sz w:val="20"/>
        </w:rPr>
        <w:t>首期团队具备前端、后端、测试和基础运维能力。</w:t>
      </w:r>
    </w:p>
    <w:p>
      <w:pPr>
        <w:pStyle w:val="ListBullet"/>
        <w:keepNext w:val="0"/>
        <w:keepLines/>
        <w:spacing w:before="0" w:after="60" w:line="312" w:lineRule="auto"/>
        <w:ind w:left="425" w:hanging="198"/>
      </w:pPr>
      <w:r>
        <w:rPr>
          <w:rFonts w:ascii="Aptos" w:hAnsi="Aptos" w:eastAsia="Microsoft YaHei"/>
          <w:color w:val="1F1F1F"/>
          <w:sz w:val="20"/>
        </w:rPr>
        <w:t>原始事件默认保留 90 天，聚合指标可保留更长时间；具体期限由业务和合规评审确认。</w:t>
      </w:r>
    </w:p>
    <w:p>
      <w:pPr>
        <w:pStyle w:val="ListBullet"/>
        <w:keepNext w:val="0"/>
        <w:keepLines/>
        <w:spacing w:before="0" w:after="60" w:line="312" w:lineRule="auto"/>
        <w:ind w:left="425" w:hanging="198"/>
      </w:pPr>
      <w:r>
        <w:rPr>
          <w:rFonts w:ascii="Aptos" w:hAnsi="Aptos" w:eastAsia="Microsoft YaHei"/>
          <w:color w:val="1F1F1F"/>
          <w:sz w:val="20"/>
        </w:rPr>
        <w:t>工期基线为 12 至 16 周，未包含复杂 CRM、广告平台和支付渠道的定制集成。</w:t>
      </w:r>
    </w:p>
    <w:p>
      <w:pPr>
        <w:pStyle w:val="Heading1"/>
        <w:keepNext/>
        <w:keepLines/>
      </w:pPr>
      <w:r>
        <w:rPr>
          <w:rFonts w:ascii="Aptos Display" w:hAnsi="Aptos Display" w:eastAsia="Microsoft YaHei"/>
          <w:color w:val="000000"/>
        </w:rPr>
        <w:t>2 产品总体设计</w:t>
      </w:r>
    </w:p>
    <w:p>
      <w:pPr>
        <w:pStyle w:val="Heading2"/>
        <w:keepNext/>
        <w:keepLines/>
      </w:pPr>
      <w:r>
        <w:rPr>
          <w:rFonts w:ascii="Aptos Display" w:hAnsi="Aptos Display" w:eastAsia="Microsoft YaHei"/>
          <w:color w:val="000000"/>
        </w:rPr>
        <w:t>2 1 系统组成</w:t>
      </w:r>
    </w:p>
    <w:tbl>
      <w:tblPr>
        <w:tblW w:type="auto" w:w="0"/>
        <w:jc w:val="center"/>
        <w:tblLayout w:type="fixed"/>
        <w:tblLook w:firstColumn="1" w:firstRow="1" w:lastColumn="0" w:lastRow="0" w:noHBand="0" w:noVBand="1" w:val="04A0"/>
      </w:tblPr>
      <w:tblGrid>
        <w:gridCol w:w="3081"/>
        <w:gridCol w:w="3081"/>
        <w:gridCol w:w="3081"/>
      </w:tblGrid>
      <w:tr>
        <w:trPr>
          <w:tblHeader w:val="true"/>
          <w:cantSplit w:val="true"/>
        </w:trPr>
        <w:tc>
          <w:tcPr>
            <w:tcW w:type="dxa" w:w="1814"/>
            <w:shd w:fill="17365D"/>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76" w:lineRule="auto"/>
              <w:jc w:val="center"/>
            </w:pPr>
            <w:r/>
            <w:r>
              <w:rPr>
                <w:rFonts w:ascii="Aptos" w:hAnsi="Aptos" w:eastAsia="Microsoft YaHei"/>
                <w:b/>
                <w:color w:val="FFFFFF"/>
                <w:sz w:val="18"/>
              </w:rPr>
              <w:t>组件</w:t>
            </w:r>
          </w:p>
        </w:tc>
        <w:tc>
          <w:tcPr>
            <w:tcW w:type="dxa" w:w="4535"/>
            <w:shd w:fill="17365D"/>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76" w:lineRule="auto"/>
              <w:jc w:val="center"/>
            </w:pPr>
            <w:r/>
            <w:r>
              <w:rPr>
                <w:rFonts w:ascii="Aptos" w:hAnsi="Aptos" w:eastAsia="Microsoft YaHei"/>
                <w:b/>
                <w:color w:val="FFFFFF"/>
                <w:sz w:val="18"/>
              </w:rPr>
              <w:t>主要职责</w:t>
            </w:r>
          </w:p>
        </w:tc>
        <w:tc>
          <w:tcPr>
            <w:tcW w:type="dxa" w:w="2551"/>
            <w:shd w:fill="17365D"/>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76" w:lineRule="auto"/>
              <w:jc w:val="center"/>
            </w:pPr>
            <w:r/>
            <w:r>
              <w:rPr>
                <w:rFonts w:ascii="Aptos" w:hAnsi="Aptos" w:eastAsia="Microsoft YaHei"/>
                <w:b/>
                <w:color w:val="FFFFFF"/>
                <w:sz w:val="18"/>
              </w:rPr>
              <w:t>部署位置</w:t>
            </w:r>
          </w:p>
        </w:tc>
      </w:tr>
      <w:tr>
        <w:trPr>
          <w:cantSplit w:val="true"/>
        </w:trPr>
        <w:tc>
          <w:tcPr>
            <w:tcW w:type="dxa" w:w="1814"/>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Tracker JS</w:t>
            </w:r>
          </w:p>
        </w:tc>
        <w:tc>
          <w:tcPr>
            <w:tcW w:type="dxa" w:w="4535"/>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匿名 ID 会话 页面行为 有效停留 事件缓冲和批量发送</w:t>
            </w:r>
          </w:p>
        </w:tc>
        <w:tc>
          <w:tcPr>
            <w:tcW w:type="dxa" w:w="2551"/>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被接入网站</w:t>
            </w:r>
          </w:p>
        </w:tc>
      </w:tr>
      <w:tr>
        <w:trPr>
          <w:cantSplit w:val="true"/>
        </w:trPr>
        <w:tc>
          <w:tcPr>
            <w:tcW w:type="dxa" w:w="1814"/>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Collect API</w:t>
            </w:r>
          </w:p>
        </w:tc>
        <w:tc>
          <w:tcPr>
            <w:tcW w:type="dxa" w:w="4535"/>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接收事件 校验 限流 去重 接入队列</w:t>
            </w:r>
          </w:p>
        </w:tc>
        <w:tc>
          <w:tcPr>
            <w:tcW w:type="dxa" w:w="2551"/>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独立服务域名</w:t>
            </w:r>
          </w:p>
        </w:tc>
      </w:tr>
      <w:tr>
        <w:trPr>
          <w:cantSplit w:val="true"/>
        </w:trPr>
        <w:tc>
          <w:tcPr>
            <w:tcW w:type="dxa" w:w="1814"/>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Server API</w:t>
            </w:r>
          </w:p>
        </w:tc>
        <w:tc>
          <w:tcPr>
            <w:tcW w:type="dxa" w:w="4535"/>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接收登录 询盘 订单 支付等签名业务事件</w:t>
            </w:r>
          </w:p>
        </w:tc>
        <w:tc>
          <w:tcPr>
            <w:tcW w:type="dxa" w:w="2551"/>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独立服务域名</w:t>
            </w:r>
          </w:p>
        </w:tc>
      </w:tr>
      <w:tr>
        <w:trPr>
          <w:cantSplit w:val="true"/>
        </w:trPr>
        <w:tc>
          <w:tcPr>
            <w:tcW w:type="dxa" w:w="1814"/>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Processing Worker</w:t>
            </w:r>
          </w:p>
        </w:tc>
        <w:tc>
          <w:tcPr>
            <w:tcW w:type="dxa" w:w="4535"/>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会话聚合 身份合并 指标计算 Webhook</w:t>
            </w:r>
          </w:p>
        </w:tc>
        <w:tc>
          <w:tcPr>
            <w:tcW w:type="dxa" w:w="2551"/>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后台任务进程</w:t>
            </w:r>
          </w:p>
        </w:tc>
      </w:tr>
      <w:tr>
        <w:trPr>
          <w:cantSplit w:val="true"/>
        </w:trPr>
        <w:tc>
          <w:tcPr>
            <w:tcW w:type="dxa" w:w="1814"/>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Application API</w:t>
            </w:r>
          </w:p>
        </w:tc>
        <w:tc>
          <w:tcPr>
            <w:tcW w:type="dxa" w:w="4535"/>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账户 网站 客户 查询 权限 隐私和审计</w:t>
            </w:r>
          </w:p>
        </w:tc>
        <w:tc>
          <w:tcPr>
            <w:tcW w:type="dxa" w:w="2551"/>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独立后台</w:t>
            </w:r>
          </w:p>
        </w:tc>
      </w:tr>
      <w:tr>
        <w:trPr>
          <w:cantSplit w:val="true"/>
        </w:trPr>
        <w:tc>
          <w:tcPr>
            <w:tcW w:type="dxa" w:w="1814"/>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Dashboard</w:t>
            </w:r>
          </w:p>
        </w:tc>
        <w:tc>
          <w:tcPr>
            <w:tcW w:type="dxa" w:w="4535"/>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客户列表 时间线 会话 分析 设置和运维视图</w:t>
            </w:r>
          </w:p>
        </w:tc>
        <w:tc>
          <w:tcPr>
            <w:tcW w:type="dxa" w:w="2551"/>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独立后台域名</w:t>
            </w:r>
          </w:p>
        </w:tc>
      </w:tr>
      <w:tr>
        <w:trPr>
          <w:cantSplit w:val="true"/>
        </w:trPr>
        <w:tc>
          <w:tcPr>
            <w:tcW w:type="dxa" w:w="1814"/>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Data Layer</w:t>
            </w:r>
          </w:p>
        </w:tc>
        <w:tc>
          <w:tcPr>
            <w:tcW w:type="dxa" w:w="4535"/>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PostgreSQL Redis 对象存储及后续分析存储</w:t>
            </w:r>
          </w:p>
        </w:tc>
        <w:tc>
          <w:tcPr>
            <w:tcW w:type="dxa" w:w="2551"/>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私有基础设施</w:t>
            </w:r>
          </w:p>
        </w:tc>
      </w:tr>
    </w:tbl>
    <w:p>
      <w:pPr>
        <w:spacing w:before="0" w:after="40" w:line="240" w:lineRule="auto"/>
      </w:pPr>
    </w:p>
    <w:p>
      <w:pPr>
        <w:pStyle w:val="Heading2"/>
        <w:keepNext/>
        <w:keepLines/>
      </w:pPr>
      <w:r>
        <w:rPr>
          <w:rFonts w:ascii="Aptos Display" w:hAnsi="Aptos Display" w:eastAsia="Microsoft YaHei"/>
          <w:color w:val="000000"/>
        </w:rPr>
        <w:t>2 2 数据流</w:t>
      </w:r>
    </w:p>
    <w:p>
      <w:pPr>
        <w:keepNext w:val="0"/>
        <w:keepLines/>
        <w:spacing w:before="0" w:after="60" w:line="276" w:lineRule="auto"/>
        <w:ind w:left="482" w:right="255"/>
      </w:pPr>
      <w:r>
        <w:rPr>
          <w:rFonts w:ascii="Consolas" w:hAnsi="Consolas" w:eastAsia="Microsoft YaHei"/>
          <w:color w:val="1F1F1F"/>
          <w:sz w:val="17"/>
        </w:rPr>
        <w:t>访客浏览器</w:t>
        <w:br/>
        <w:t xml:space="preserve">   |  页面 浏览 点击 滚动 活跃时间 自定义事件</w:t>
        <w:br/>
        <w:t xml:space="preserve">   v</w:t>
        <w:br/>
        <w:t>Tracker JS  -&gt;  Collect API  -&gt;  校验与限流  -&gt;  事件队列</w:t>
        <w:br/>
        <w:t xml:space="preserve">                                                   |</w:t>
        <w:br/>
        <w:t>网站服务端  -&gt;  Server API  -&gt;  签名验证  ----------+</w:t>
        <w:br/>
        <w:t xml:space="preserve">                                                   v</w:t>
        <w:br/>
        <w:t xml:space="preserve">                                  身份合并 会话化 聚合处理</w:t>
        <w:br/>
        <w:t xml:space="preserve">                                                   |</w:t>
        <w:br/>
        <w:t xml:space="preserve">                             PostgreSQL Redis 分析存储</w:t>
        <w:br/>
        <w:t xml:space="preserve">                                                   |</w:t>
        <w:br/>
        <w:t xml:space="preserve">                                     独立管理后台和 API</w:t>
      </w:r>
    </w:p>
    <w:p>
      <w:pPr>
        <w:spacing w:before="0" w:after="120" w:line="341" w:lineRule="auto"/>
        <w:ind w:firstLine="420"/>
      </w:pPr>
      <w:r>
        <w:rPr>
          <w:rFonts w:ascii="Aptos" w:hAnsi="Aptos" w:eastAsia="Microsoft YaHei"/>
          <w:color w:val="1F1F1F"/>
          <w:sz w:val="21"/>
        </w:rPr>
        <w:t>浏览器事件表达用户在页面上发生的行为，服务端事件表达业务系统已经确认的结果。两类事件使用统一 event_id、visitor_id、external_user_id 和 occurred_at 关联。处理服务保留原始发生时间和服务器接收时间，以识别客户端时钟偏差、延迟发送和重放请求。</w:t>
      </w:r>
    </w:p>
    <w:p>
      <w:pPr>
        <w:pStyle w:val="Heading2"/>
        <w:keepNext/>
        <w:keepLines/>
      </w:pPr>
      <w:r>
        <w:rPr>
          <w:rFonts w:ascii="Aptos Display" w:hAnsi="Aptos Display" w:eastAsia="Microsoft YaHei"/>
          <w:color w:val="000000"/>
        </w:rPr>
        <w:t>2 3 多租户边界</w:t>
      </w:r>
    </w:p>
    <w:p>
      <w:pPr>
        <w:spacing w:before="0" w:after="120" w:line="341" w:lineRule="auto"/>
        <w:ind w:firstLine="420"/>
      </w:pPr>
      <w:r>
        <w:rPr>
          <w:rFonts w:ascii="Aptos" w:hAnsi="Aptos" w:eastAsia="Microsoft YaHei"/>
          <w:color w:val="1F1F1F"/>
          <w:sz w:val="21"/>
        </w:rPr>
        <w:t>即使首期只服务自有网站，核心表也应包含 organization_id 和 site_id。后台查询、对象缓存、导出任务、Webhook 以及审计日志均以组织为第一隔离条件。任何仅按 contact_id 或 event_id 查询数据的接口都视为设计缺陷，因为它容易造成跨租户对象级越权。</w:t>
      </w:r>
    </w:p>
    <w:p>
      <w:pPr>
        <w:pStyle w:val="Heading1"/>
        <w:keepNext/>
        <w:keepLines/>
      </w:pPr>
      <w:r>
        <w:rPr>
          <w:rFonts w:ascii="Aptos Display" w:hAnsi="Aptos Display" w:eastAsia="Microsoft YaHei"/>
          <w:color w:val="000000"/>
        </w:rPr>
        <w:t>3 数据采集方案</w:t>
      </w:r>
    </w:p>
    <w:p>
      <w:pPr>
        <w:pStyle w:val="Heading2"/>
        <w:keepNext/>
        <w:keepLines/>
      </w:pPr>
      <w:r>
        <w:rPr>
          <w:rFonts w:ascii="Aptos Display" w:hAnsi="Aptos Display" w:eastAsia="Microsoft YaHei"/>
          <w:color w:val="000000"/>
        </w:rPr>
        <w:t>3 1 分级采集模型</w:t>
      </w:r>
    </w:p>
    <w:tbl>
      <w:tblPr>
        <w:tblW w:type="auto" w:w="0"/>
        <w:jc w:val="center"/>
        <w:tblLayout w:type="fixed"/>
        <w:tblLook w:firstColumn="1" w:firstRow="1" w:lastColumn="0" w:lastRow="0" w:noHBand="0" w:noVBand="1" w:val="04A0"/>
      </w:tblPr>
      <w:tblGrid>
        <w:gridCol w:w="2310"/>
        <w:gridCol w:w="2310"/>
        <w:gridCol w:w="2310"/>
        <w:gridCol w:w="2310"/>
      </w:tblGrid>
      <w:tr>
        <w:trPr>
          <w:tblHeader w:val="true"/>
          <w:cantSplit w:val="true"/>
        </w:trPr>
        <w:tc>
          <w:tcPr>
            <w:tcW w:type="dxa" w:w="1247"/>
            <w:shd w:fill="17365D"/>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76" w:lineRule="auto"/>
              <w:jc w:val="center"/>
            </w:pPr>
            <w:r/>
            <w:r>
              <w:rPr>
                <w:rFonts w:ascii="Aptos" w:hAnsi="Aptos" w:eastAsia="Microsoft YaHei"/>
                <w:b/>
                <w:color w:val="FFFFFF"/>
                <w:sz w:val="18"/>
              </w:rPr>
              <w:t>状态</w:t>
            </w:r>
          </w:p>
        </w:tc>
        <w:tc>
          <w:tcPr>
            <w:tcW w:type="dxa" w:w="2324"/>
            <w:shd w:fill="17365D"/>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76" w:lineRule="auto"/>
              <w:jc w:val="center"/>
            </w:pPr>
            <w:r/>
            <w:r>
              <w:rPr>
                <w:rFonts w:ascii="Aptos" w:hAnsi="Aptos" w:eastAsia="Microsoft YaHei"/>
                <w:b/>
                <w:color w:val="FFFFFF"/>
                <w:sz w:val="18"/>
              </w:rPr>
              <w:t>触发条件</w:t>
            </w:r>
          </w:p>
        </w:tc>
        <w:tc>
          <w:tcPr>
            <w:tcW w:type="dxa" w:w="3061"/>
            <w:shd w:fill="17365D"/>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76" w:lineRule="auto"/>
              <w:jc w:val="center"/>
            </w:pPr>
            <w:r/>
            <w:r>
              <w:rPr>
                <w:rFonts w:ascii="Aptos" w:hAnsi="Aptos" w:eastAsia="Microsoft YaHei"/>
                <w:b/>
                <w:color w:val="FFFFFF"/>
                <w:sz w:val="18"/>
              </w:rPr>
              <w:t>允许采集</w:t>
            </w:r>
          </w:p>
        </w:tc>
        <w:tc>
          <w:tcPr>
            <w:tcW w:type="dxa" w:w="2268"/>
            <w:shd w:fill="17365D"/>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76" w:lineRule="auto"/>
              <w:jc w:val="center"/>
            </w:pPr>
            <w:r/>
            <w:r>
              <w:rPr>
                <w:rFonts w:ascii="Aptos" w:hAnsi="Aptos" w:eastAsia="Microsoft YaHei"/>
                <w:b/>
                <w:color w:val="FFFFFF"/>
                <w:sz w:val="18"/>
              </w:rPr>
              <w:t>限制</w:t>
            </w:r>
          </w:p>
        </w:tc>
      </w:tr>
      <w:tr>
        <w:trPr>
          <w:cantSplit w:val="true"/>
        </w:trPr>
        <w:tc>
          <w:tcPr>
            <w:tcW w:type="dxa" w:w="1247"/>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必要状态</w:t>
            </w:r>
          </w:p>
        </w:tc>
        <w:tc>
          <w:tcPr>
            <w:tcW w:type="dxa" w:w="2324"/>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用户尚未同意非必要追踪</w:t>
            </w:r>
          </w:p>
        </w:tc>
        <w:tc>
          <w:tcPr>
            <w:tcW w:type="dxa" w:w="3061"/>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同意状态 安全事件 短期会话所需字段</w:t>
            </w:r>
          </w:p>
        </w:tc>
        <w:tc>
          <w:tcPr>
            <w:tcW w:type="dxa" w:w="2268"/>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不建立长期营销画像</w:t>
            </w:r>
          </w:p>
        </w:tc>
      </w:tr>
      <w:tr>
        <w:trPr>
          <w:cantSplit w:val="true"/>
        </w:trPr>
        <w:tc>
          <w:tcPr>
            <w:tcW w:type="dxa" w:w="1247"/>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分析状态</w:t>
            </w:r>
          </w:p>
        </w:tc>
        <w:tc>
          <w:tcPr>
            <w:tcW w:type="dxa" w:w="2324"/>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用户同意分析类采集</w:t>
            </w:r>
          </w:p>
        </w:tc>
        <w:tc>
          <w:tcPr>
            <w:tcW w:type="dxa" w:w="3061"/>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页面 来源 设备 活跃时间 滚动 关键点击</w:t>
            </w:r>
          </w:p>
        </w:tc>
        <w:tc>
          <w:tcPr>
            <w:tcW w:type="dxa" w:w="2268"/>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不采集表单具体输入</w:t>
            </w:r>
          </w:p>
        </w:tc>
      </w:tr>
      <w:tr>
        <w:trPr>
          <w:cantSplit w:val="true"/>
        </w:trPr>
        <w:tc>
          <w:tcPr>
            <w:tcW w:type="dxa" w:w="1247"/>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已识别状态</w:t>
            </w:r>
          </w:p>
        </w:tc>
        <w:tc>
          <w:tcPr>
            <w:tcW w:type="dxa" w:w="2324"/>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登录 注册 询盘或明确提供资料</w:t>
            </w:r>
          </w:p>
        </w:tc>
        <w:tc>
          <w:tcPr>
            <w:tcW w:type="dxa" w:w="3061"/>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身份资料及与匿名历史的确定性合并</w:t>
            </w:r>
          </w:p>
        </w:tc>
        <w:tc>
          <w:tcPr>
            <w:tcW w:type="dxa" w:w="2268"/>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记录来源 目的和授权状态</w:t>
            </w:r>
          </w:p>
        </w:tc>
      </w:tr>
      <w:tr>
        <w:trPr>
          <w:cantSplit w:val="true"/>
        </w:trPr>
        <w:tc>
          <w:tcPr>
            <w:tcW w:type="dxa" w:w="1247"/>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业务状态</w:t>
            </w:r>
          </w:p>
        </w:tc>
        <w:tc>
          <w:tcPr>
            <w:tcW w:type="dxa" w:w="2324"/>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网站服务端确认业务结果</w:t>
            </w:r>
          </w:p>
        </w:tc>
        <w:tc>
          <w:tcPr>
            <w:tcW w:type="dxa" w:w="3061"/>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订单 支付 退款 订阅 CRM 阶段</w:t>
            </w:r>
          </w:p>
        </w:tc>
        <w:tc>
          <w:tcPr>
            <w:tcW w:type="dxa" w:w="2268"/>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必须使用服务端认证</w:t>
            </w:r>
          </w:p>
        </w:tc>
      </w:tr>
    </w:tbl>
    <w:p>
      <w:pPr>
        <w:spacing w:before="0" w:after="40" w:line="240" w:lineRule="auto"/>
      </w:pPr>
    </w:p>
    <w:p>
      <w:pPr>
        <w:pStyle w:val="Heading2"/>
        <w:keepNext/>
        <w:keepLines/>
      </w:pPr>
      <w:r>
        <w:rPr>
          <w:rFonts w:ascii="Aptos Display" w:hAnsi="Aptos Display" w:eastAsia="Microsoft YaHei"/>
          <w:color w:val="000000"/>
        </w:rPr>
        <w:t>3 2 自动采集字段</w:t>
      </w:r>
    </w:p>
    <w:tbl>
      <w:tblPr>
        <w:tblW w:type="auto" w:w="0"/>
        <w:jc w:val="center"/>
        <w:tblLayout w:type="fixed"/>
        <w:tblLook w:firstColumn="1" w:firstRow="1" w:lastColumn="0" w:lastRow="0" w:noHBand="0" w:noVBand="1" w:val="04A0"/>
      </w:tblPr>
      <w:tblGrid>
        <w:gridCol w:w="3081"/>
        <w:gridCol w:w="3081"/>
        <w:gridCol w:w="3081"/>
      </w:tblGrid>
      <w:tr>
        <w:trPr>
          <w:tblHeader w:val="true"/>
          <w:cantSplit w:val="true"/>
        </w:trPr>
        <w:tc>
          <w:tcPr>
            <w:tcW w:type="dxa" w:w="1219"/>
            <w:shd w:fill="17365D"/>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76" w:lineRule="auto"/>
              <w:jc w:val="center"/>
            </w:pPr>
            <w:r/>
            <w:r>
              <w:rPr>
                <w:rFonts w:ascii="Aptos" w:hAnsi="Aptos" w:eastAsia="Microsoft YaHei"/>
                <w:b/>
                <w:color w:val="FFFFFF"/>
                <w:sz w:val="18"/>
              </w:rPr>
              <w:t>类别</w:t>
            </w:r>
          </w:p>
        </w:tc>
        <w:tc>
          <w:tcPr>
            <w:tcW w:type="dxa" w:w="4110"/>
            <w:shd w:fill="17365D"/>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76" w:lineRule="auto"/>
              <w:jc w:val="center"/>
            </w:pPr>
            <w:r/>
            <w:r>
              <w:rPr>
                <w:rFonts w:ascii="Aptos" w:hAnsi="Aptos" w:eastAsia="Microsoft YaHei"/>
                <w:b/>
                <w:color w:val="FFFFFF"/>
                <w:sz w:val="18"/>
              </w:rPr>
              <w:t>建议字段</w:t>
            </w:r>
          </w:p>
        </w:tc>
        <w:tc>
          <w:tcPr>
            <w:tcW w:type="dxa" w:w="3572"/>
            <w:shd w:fill="17365D"/>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76" w:lineRule="auto"/>
              <w:jc w:val="center"/>
            </w:pPr>
            <w:r/>
            <w:r>
              <w:rPr>
                <w:rFonts w:ascii="Aptos" w:hAnsi="Aptos" w:eastAsia="Microsoft YaHei"/>
                <w:b/>
                <w:color w:val="FFFFFF"/>
                <w:sz w:val="18"/>
              </w:rPr>
              <w:t>处理要求</w:t>
            </w:r>
          </w:p>
        </w:tc>
      </w:tr>
      <w:tr>
        <w:trPr>
          <w:cantSplit w:val="true"/>
        </w:trPr>
        <w:tc>
          <w:tcPr>
            <w:tcW w:type="dxa" w:w="1219"/>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身份键</w:t>
            </w:r>
          </w:p>
        </w:tc>
        <w:tc>
          <w:tcPr>
            <w:tcW w:type="dxa" w:w="4110"/>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anonymous_id session_id tab_id</w:t>
            </w:r>
          </w:p>
        </w:tc>
        <w:tc>
          <w:tcPr>
            <w:tcW w:type="dxa" w:w="3572"/>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随机生成 不使用浏览器指纹</w:t>
            </w:r>
          </w:p>
        </w:tc>
      </w:tr>
      <w:tr>
        <w:trPr>
          <w:cantSplit w:val="true"/>
        </w:trPr>
        <w:tc>
          <w:tcPr>
            <w:tcW w:type="dxa" w:w="1219"/>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页面</w:t>
            </w:r>
          </w:p>
        </w:tc>
        <w:tc>
          <w:tcPr>
            <w:tcW w:type="dxa" w:w="4110"/>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URL path title referrer landing_page</w:t>
            </w:r>
          </w:p>
        </w:tc>
        <w:tc>
          <w:tcPr>
            <w:tcW w:type="dxa" w:w="3572"/>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默认移除 URL 中可能含个人信息的参数</w:t>
            </w:r>
          </w:p>
        </w:tc>
      </w:tr>
      <w:tr>
        <w:trPr>
          <w:cantSplit w:val="true"/>
        </w:trPr>
        <w:tc>
          <w:tcPr>
            <w:tcW w:type="dxa" w:w="1219"/>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营销</w:t>
            </w:r>
          </w:p>
        </w:tc>
        <w:tc>
          <w:tcPr>
            <w:tcW w:type="dxa" w:w="4110"/>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utm_source utm_medium utm_campaign utm_content click_id</w:t>
            </w:r>
          </w:p>
        </w:tc>
        <w:tc>
          <w:tcPr>
            <w:tcW w:type="dxa" w:w="3572"/>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配置允许列表和保留期限</w:t>
            </w:r>
          </w:p>
        </w:tc>
      </w:tr>
      <w:tr>
        <w:trPr>
          <w:cantSplit w:val="true"/>
        </w:trPr>
        <w:tc>
          <w:tcPr>
            <w:tcW w:type="dxa" w:w="1219"/>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设备</w:t>
            </w:r>
          </w:p>
        </w:tc>
        <w:tc>
          <w:tcPr>
            <w:tcW w:type="dxa" w:w="4110"/>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浏览器 操作系统 设备类别 语言 时区 视口</w:t>
            </w:r>
          </w:p>
        </w:tc>
        <w:tc>
          <w:tcPr>
            <w:tcW w:type="dxa" w:w="3572"/>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避免采集高熵指纹字段</w:t>
            </w:r>
          </w:p>
        </w:tc>
      </w:tr>
      <w:tr>
        <w:trPr>
          <w:cantSplit w:val="true"/>
        </w:trPr>
        <w:tc>
          <w:tcPr>
            <w:tcW w:type="dxa" w:w="1219"/>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网络</w:t>
            </w:r>
          </w:p>
        </w:tc>
        <w:tc>
          <w:tcPr>
            <w:tcW w:type="dxa" w:w="4110"/>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IP User Agent Origin</w:t>
            </w:r>
          </w:p>
        </w:tc>
        <w:tc>
          <w:tcPr>
            <w:tcW w:type="dxa" w:w="3572"/>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服务器端获得 IP 仅用于安全或粗粒度地域</w:t>
            </w:r>
          </w:p>
        </w:tc>
      </w:tr>
      <w:tr>
        <w:trPr>
          <w:cantSplit w:val="true"/>
        </w:trPr>
        <w:tc>
          <w:tcPr>
            <w:tcW w:type="dxa" w:w="1219"/>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交互</w:t>
            </w:r>
          </w:p>
        </w:tc>
        <w:tc>
          <w:tcPr>
            <w:tcW w:type="dxa" w:w="4110"/>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元素类型 安全标识 短文本 滚动深度 下载和外链</w:t>
            </w:r>
          </w:p>
        </w:tc>
        <w:tc>
          <w:tcPr>
            <w:tcW w:type="dxa" w:w="3572"/>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过滤动态文本和敏感字段</w:t>
            </w:r>
          </w:p>
        </w:tc>
      </w:tr>
      <w:tr>
        <w:trPr>
          <w:cantSplit w:val="true"/>
        </w:trPr>
        <w:tc>
          <w:tcPr>
            <w:tcW w:type="dxa" w:w="1219"/>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时间</w:t>
            </w:r>
          </w:p>
        </w:tc>
        <w:tc>
          <w:tcPr>
            <w:tcW w:type="dxa" w:w="4110"/>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occurred_at received_at active_ms visible_ms</w:t>
            </w:r>
          </w:p>
        </w:tc>
        <w:tc>
          <w:tcPr>
            <w:tcW w:type="dxa" w:w="3572"/>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区分浏览器时间和服务器时间</w:t>
            </w:r>
          </w:p>
        </w:tc>
      </w:tr>
      <w:tr>
        <w:trPr>
          <w:cantSplit w:val="true"/>
        </w:trPr>
        <w:tc>
          <w:tcPr>
            <w:tcW w:type="dxa" w:w="1219"/>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授权</w:t>
            </w:r>
          </w:p>
        </w:tc>
        <w:tc>
          <w:tcPr>
            <w:tcW w:type="dxa" w:w="4110"/>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consent_state policy_version changed_at</w:t>
            </w:r>
          </w:p>
        </w:tc>
        <w:tc>
          <w:tcPr>
            <w:tcW w:type="dxa" w:w="3572"/>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撤回后停止相应采集</w:t>
            </w:r>
          </w:p>
        </w:tc>
      </w:tr>
    </w:tbl>
    <w:p>
      <w:pPr>
        <w:spacing w:before="0" w:after="40" w:line="240" w:lineRule="auto"/>
      </w:pPr>
    </w:p>
    <w:p>
      <w:pPr>
        <w:pStyle w:val="Heading2"/>
        <w:keepNext/>
        <w:keepLines/>
      </w:pPr>
      <w:r>
        <w:rPr>
          <w:rFonts w:ascii="Aptos Display" w:hAnsi="Aptos Display" w:eastAsia="Microsoft YaHei"/>
          <w:color w:val="000000"/>
        </w:rPr>
        <w:t>3 3 标准事件目录</w:t>
      </w:r>
    </w:p>
    <w:tbl>
      <w:tblPr>
        <w:tblW w:type="auto" w:w="0"/>
        <w:jc w:val="center"/>
        <w:tblLayout w:type="fixed"/>
        <w:tblLook w:firstColumn="1" w:firstRow="1" w:lastColumn="0" w:lastRow="0" w:noHBand="0" w:noVBand="1" w:val="04A0"/>
      </w:tblPr>
      <w:tblGrid>
        <w:gridCol w:w="3081"/>
        <w:gridCol w:w="3081"/>
        <w:gridCol w:w="3081"/>
      </w:tblGrid>
      <w:tr>
        <w:trPr>
          <w:tblHeader w:val="true"/>
          <w:cantSplit w:val="true"/>
        </w:trPr>
        <w:tc>
          <w:tcPr>
            <w:tcW w:type="dxa" w:w="1814"/>
            <w:shd w:fill="17365D"/>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76" w:lineRule="auto"/>
              <w:jc w:val="center"/>
            </w:pPr>
            <w:r/>
            <w:r>
              <w:rPr>
                <w:rFonts w:ascii="Aptos" w:hAnsi="Aptos" w:eastAsia="Microsoft YaHei"/>
                <w:b/>
                <w:color w:val="FFFFFF"/>
                <w:sz w:val="18"/>
              </w:rPr>
              <w:t>事件</w:t>
            </w:r>
          </w:p>
        </w:tc>
        <w:tc>
          <w:tcPr>
            <w:tcW w:type="dxa" w:w="3402"/>
            <w:shd w:fill="17365D"/>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76" w:lineRule="auto"/>
              <w:jc w:val="center"/>
            </w:pPr>
            <w:r/>
            <w:r>
              <w:rPr>
                <w:rFonts w:ascii="Aptos" w:hAnsi="Aptos" w:eastAsia="Microsoft YaHei"/>
                <w:b/>
                <w:color w:val="FFFFFF"/>
                <w:sz w:val="18"/>
              </w:rPr>
              <w:t>触发条件</w:t>
            </w:r>
          </w:p>
        </w:tc>
        <w:tc>
          <w:tcPr>
            <w:tcW w:type="dxa" w:w="3685"/>
            <w:shd w:fill="17365D"/>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76" w:lineRule="auto"/>
              <w:jc w:val="center"/>
            </w:pPr>
            <w:r/>
            <w:r>
              <w:rPr>
                <w:rFonts w:ascii="Aptos" w:hAnsi="Aptos" w:eastAsia="Microsoft YaHei"/>
                <w:b/>
                <w:color w:val="FFFFFF"/>
                <w:sz w:val="18"/>
              </w:rPr>
              <w:t>主要属性</w:t>
            </w:r>
          </w:p>
        </w:tc>
      </w:tr>
      <w:tr>
        <w:trPr>
          <w:cantSplit w:val="true"/>
        </w:trPr>
        <w:tc>
          <w:tcPr>
            <w:tcW w:type="dxa" w:w="1814"/>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session_start</w:t>
            </w:r>
          </w:p>
        </w:tc>
        <w:tc>
          <w:tcPr>
            <w:tcW w:type="dxa" w:w="3402"/>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新会话建立</w:t>
            </w:r>
          </w:p>
        </w:tc>
        <w:tc>
          <w:tcPr>
            <w:tcW w:type="dxa" w:w="3685"/>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landing_page referrer campaign</w:t>
            </w:r>
          </w:p>
        </w:tc>
      </w:tr>
      <w:tr>
        <w:trPr>
          <w:cantSplit w:val="true"/>
        </w:trPr>
        <w:tc>
          <w:tcPr>
            <w:tcW w:type="dxa" w:w="1814"/>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page_view</w:t>
            </w:r>
          </w:p>
        </w:tc>
        <w:tc>
          <w:tcPr>
            <w:tcW w:type="dxa" w:w="3402"/>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首次加载或 SPA 路由变化</w:t>
            </w:r>
          </w:p>
        </w:tc>
        <w:tc>
          <w:tcPr>
            <w:tcW w:type="dxa" w:w="3685"/>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path title content_id</w:t>
            </w:r>
          </w:p>
        </w:tc>
      </w:tr>
      <w:tr>
        <w:trPr>
          <w:cantSplit w:val="true"/>
        </w:trPr>
        <w:tc>
          <w:tcPr>
            <w:tcW w:type="dxa" w:w="1814"/>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page_engagement</w:t>
            </w:r>
          </w:p>
        </w:tc>
        <w:tc>
          <w:tcPr>
            <w:tcW w:type="dxa" w:w="3402"/>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定时或页面隐藏时</w:t>
            </w:r>
          </w:p>
        </w:tc>
        <w:tc>
          <w:tcPr>
            <w:tcW w:type="dxa" w:w="3685"/>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active_ms visible_ms max_scroll</w:t>
            </w:r>
          </w:p>
        </w:tc>
      </w:tr>
      <w:tr>
        <w:trPr>
          <w:cantSplit w:val="true"/>
        </w:trPr>
        <w:tc>
          <w:tcPr>
            <w:tcW w:type="dxa" w:w="1814"/>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element_click</w:t>
            </w:r>
          </w:p>
        </w:tc>
        <w:tc>
          <w:tcPr>
            <w:tcW w:type="dxa" w:w="3402"/>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命中管理员配置的关键元素</w:t>
            </w:r>
          </w:p>
        </w:tc>
        <w:tc>
          <w:tcPr>
            <w:tcW w:type="dxa" w:w="3685"/>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element_key element_type text_safe</w:t>
            </w:r>
          </w:p>
        </w:tc>
      </w:tr>
      <w:tr>
        <w:trPr>
          <w:cantSplit w:val="true"/>
        </w:trPr>
        <w:tc>
          <w:tcPr>
            <w:tcW w:type="dxa" w:w="1814"/>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outbound_click</w:t>
            </w:r>
          </w:p>
        </w:tc>
        <w:tc>
          <w:tcPr>
            <w:tcW w:type="dxa" w:w="3402"/>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点击站外链接</w:t>
            </w:r>
          </w:p>
        </w:tc>
        <w:tc>
          <w:tcPr>
            <w:tcW w:type="dxa" w:w="3685"/>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destination_domain link_key</w:t>
            </w:r>
          </w:p>
        </w:tc>
      </w:tr>
      <w:tr>
        <w:trPr>
          <w:cantSplit w:val="true"/>
        </w:trPr>
        <w:tc>
          <w:tcPr>
            <w:tcW w:type="dxa" w:w="1814"/>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file_download</w:t>
            </w:r>
          </w:p>
        </w:tc>
        <w:tc>
          <w:tcPr>
            <w:tcW w:type="dxa" w:w="3402"/>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点击下载资源</w:t>
            </w:r>
          </w:p>
        </w:tc>
        <w:tc>
          <w:tcPr>
            <w:tcW w:type="dxa" w:w="3685"/>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file_name file_type asset_id</w:t>
            </w:r>
          </w:p>
        </w:tc>
      </w:tr>
      <w:tr>
        <w:trPr>
          <w:cantSplit w:val="true"/>
        </w:trPr>
        <w:tc>
          <w:tcPr>
            <w:tcW w:type="dxa" w:w="1814"/>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form_start</w:t>
            </w:r>
          </w:p>
        </w:tc>
        <w:tc>
          <w:tcPr>
            <w:tcW w:type="dxa" w:w="3402"/>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首次与表单交互</w:t>
            </w:r>
          </w:p>
        </w:tc>
        <w:tc>
          <w:tcPr>
            <w:tcW w:type="dxa" w:w="3685"/>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form_id form_name</w:t>
            </w:r>
          </w:p>
        </w:tc>
      </w:tr>
      <w:tr>
        <w:trPr>
          <w:cantSplit w:val="true"/>
        </w:trPr>
        <w:tc>
          <w:tcPr>
            <w:tcW w:type="dxa" w:w="1814"/>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form_submit</w:t>
            </w:r>
          </w:p>
        </w:tc>
        <w:tc>
          <w:tcPr>
            <w:tcW w:type="dxa" w:w="3402"/>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提交动作发生</w:t>
            </w:r>
          </w:p>
        </w:tc>
        <w:tc>
          <w:tcPr>
            <w:tcW w:type="dxa" w:w="3685"/>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form_id result field_names_only</w:t>
            </w:r>
          </w:p>
        </w:tc>
      </w:tr>
      <w:tr>
        <w:trPr>
          <w:cantSplit w:val="true"/>
        </w:trPr>
        <w:tc>
          <w:tcPr>
            <w:tcW w:type="dxa" w:w="1814"/>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identify</w:t>
            </w:r>
          </w:p>
        </w:tc>
        <w:tc>
          <w:tcPr>
            <w:tcW w:type="dxa" w:w="3402"/>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服务端确认身份</w:t>
            </w:r>
          </w:p>
        </w:tc>
        <w:tc>
          <w:tcPr>
            <w:tcW w:type="dxa" w:w="3685"/>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external_user_id identity_token</w:t>
            </w:r>
          </w:p>
        </w:tc>
      </w:tr>
      <w:tr>
        <w:trPr>
          <w:cantSplit w:val="true"/>
        </w:trPr>
        <w:tc>
          <w:tcPr>
            <w:tcW w:type="dxa" w:w="1814"/>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product_view</w:t>
            </w:r>
          </w:p>
        </w:tc>
        <w:tc>
          <w:tcPr>
            <w:tcW w:type="dxa" w:w="3402"/>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查看商品或服务</w:t>
            </w:r>
          </w:p>
        </w:tc>
        <w:tc>
          <w:tcPr>
            <w:tcW w:type="dxa" w:w="3685"/>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product_id category value</w:t>
            </w:r>
          </w:p>
        </w:tc>
      </w:tr>
      <w:tr>
        <w:trPr>
          <w:cantSplit w:val="true"/>
        </w:trPr>
        <w:tc>
          <w:tcPr>
            <w:tcW w:type="dxa" w:w="1814"/>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order_paid</w:t>
            </w:r>
          </w:p>
        </w:tc>
        <w:tc>
          <w:tcPr>
            <w:tcW w:type="dxa" w:w="3402"/>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服务端确认支付</w:t>
            </w:r>
          </w:p>
        </w:tc>
        <w:tc>
          <w:tcPr>
            <w:tcW w:type="dxa" w:w="3685"/>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order_id amount currency</w:t>
            </w:r>
          </w:p>
        </w:tc>
      </w:tr>
      <w:tr>
        <w:trPr>
          <w:cantSplit w:val="true"/>
        </w:trPr>
        <w:tc>
          <w:tcPr>
            <w:tcW w:type="dxa" w:w="1814"/>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custom_event</w:t>
            </w:r>
          </w:p>
        </w:tc>
        <w:tc>
          <w:tcPr>
            <w:tcW w:type="dxa" w:w="3402"/>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网站主动调用 SDK</w:t>
            </w:r>
          </w:p>
        </w:tc>
        <w:tc>
          <w:tcPr>
            <w:tcW w:type="dxa" w:w="3685"/>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event_name validated_properties</w:t>
            </w:r>
          </w:p>
        </w:tc>
      </w:tr>
    </w:tbl>
    <w:p>
      <w:pPr>
        <w:spacing w:before="0" w:after="40" w:line="240" w:lineRule="auto"/>
      </w:pPr>
    </w:p>
    <w:p>
      <w:pPr>
        <w:pStyle w:val="Heading2"/>
        <w:keepNext/>
        <w:keepLines/>
      </w:pPr>
      <w:r>
        <w:rPr>
          <w:rFonts w:ascii="Aptos Display" w:hAnsi="Aptos Display" w:eastAsia="Microsoft YaHei"/>
          <w:color w:val="000000"/>
        </w:rPr>
        <w:t>3 4 禁止和受限采集</w:t>
      </w:r>
    </w:p>
    <w:p>
      <w:pPr>
        <w:spacing w:before="0" w:after="120" w:line="341" w:lineRule="auto"/>
        <w:ind w:firstLine="420"/>
      </w:pPr>
      <w:r>
        <w:rPr>
          <w:rFonts w:ascii="Aptos" w:hAnsi="Aptos" w:eastAsia="Microsoft YaHei"/>
          <w:color w:val="1F1F1F"/>
          <w:sz w:val="21"/>
        </w:rPr>
        <w:t>SDK 默认禁止记录密码、验证码、银行卡、身份证件、精确定位、剪贴板、按键内容和未提交的自由文本。表单事件只记录表单标识、字段名称、完成状态、错误类型和耗时。若特定行业确需处理敏感个人信息，应单独完成必要性评估、授权设计、访问控制和加密方案，不得通过通用事件属性绕过限制。</w:t>
      </w:r>
    </w:p>
    <w:p>
      <w:pPr>
        <w:pStyle w:val="Heading1"/>
        <w:keepNext/>
        <w:keepLines/>
      </w:pPr>
      <w:r>
        <w:rPr>
          <w:rFonts w:ascii="Aptos Display" w:hAnsi="Aptos Display" w:eastAsia="Microsoft YaHei"/>
          <w:color w:val="000000"/>
        </w:rPr>
        <w:t>4 JavaScript SDK 实施设计</w:t>
      </w:r>
    </w:p>
    <w:p>
      <w:pPr>
        <w:pStyle w:val="Heading2"/>
        <w:keepNext/>
        <w:keepLines/>
      </w:pPr>
      <w:r>
        <w:rPr>
          <w:rFonts w:ascii="Aptos Display" w:hAnsi="Aptos Display" w:eastAsia="Microsoft YaHei"/>
          <w:color w:val="000000"/>
        </w:rPr>
        <w:t>4 1 接入方式</w:t>
      </w:r>
    </w:p>
    <w:p>
      <w:pPr>
        <w:keepNext w:val="0"/>
        <w:keepLines/>
        <w:spacing w:before="0" w:after="60" w:line="276" w:lineRule="auto"/>
        <w:ind w:left="482" w:right="255"/>
      </w:pPr>
      <w:r>
        <w:rPr>
          <w:rFonts w:ascii="Consolas" w:hAnsi="Consolas" w:eastAsia="Microsoft YaHei"/>
          <w:color w:val="1F1F1F"/>
          <w:sz w:val="17"/>
        </w:rPr>
        <w:t>&lt;script&gt;</w:t>
        <w:br/>
        <w:t xml:space="preserve">  window.CustomerTrackerConfig = {</w:t>
        <w:br/>
        <w:t xml:space="preserve">    siteId: "site_xxxxx",</w:t>
        <w:br/>
        <w:t xml:space="preserve">    endpoint: "https://collect.example.com",</w:t>
        <w:br/>
        <w:t xml:space="preserve">    consent: "analytics"</w:t>
        <w:br/>
        <w:t xml:space="preserve">  };</w:t>
        <w:br/>
        <w:t>&lt;/script&gt;</w:t>
        <w:br/>
        <w:t>&lt;script async src="https://cdn.example.com/tracker.min.js"&gt;&lt;/script&gt;</w:t>
      </w:r>
    </w:p>
    <w:p>
      <w:pPr>
        <w:spacing w:before="0" w:after="120" w:line="341" w:lineRule="auto"/>
        <w:ind w:firstLine="420"/>
      </w:pPr>
      <w:r>
        <w:rPr>
          <w:rFonts w:ascii="Aptos" w:hAnsi="Aptos" w:eastAsia="Microsoft YaHei"/>
          <w:color w:val="1F1F1F"/>
          <w:sz w:val="21"/>
        </w:rPr>
        <w:t>siteId 是公开标识，可以出现在网页源代码中。任何具备写入业务事实权限的 Site Secret 都不能进入浏览器。SDK 应支持 npm 包和 CDN 脚本两种发布方式，并使用语义版本控制、子资源完整性值和回滚版本。</w:t>
      </w:r>
    </w:p>
    <w:p>
      <w:pPr>
        <w:pStyle w:val="Heading2"/>
        <w:keepNext/>
        <w:keepLines/>
      </w:pPr>
      <w:r>
        <w:rPr>
          <w:rFonts w:ascii="Aptos Display" w:hAnsi="Aptos Display" w:eastAsia="Microsoft YaHei"/>
          <w:color w:val="000000"/>
        </w:rPr>
        <w:t>4 2 SDK 核心能力</w:t>
      </w:r>
    </w:p>
    <w:p>
      <w:pPr>
        <w:pStyle w:val="ListBullet"/>
        <w:keepNext w:val="0"/>
        <w:keepLines/>
        <w:spacing w:before="0" w:after="60" w:line="312" w:lineRule="auto"/>
        <w:ind w:left="425" w:hanging="198"/>
      </w:pPr>
      <w:r>
        <w:rPr>
          <w:rFonts w:ascii="Aptos" w:hAnsi="Aptos" w:eastAsia="Microsoft YaHei"/>
          <w:color w:val="1F1F1F"/>
          <w:sz w:val="20"/>
        </w:rPr>
        <w:t>异步加载，不阻塞页面首屏和主要交互。</w:t>
      </w:r>
    </w:p>
    <w:p>
      <w:pPr>
        <w:pStyle w:val="ListBullet"/>
        <w:keepNext w:val="0"/>
        <w:keepLines/>
        <w:spacing w:before="0" w:after="60" w:line="312" w:lineRule="auto"/>
        <w:ind w:left="425" w:hanging="198"/>
      </w:pPr>
      <w:r>
        <w:rPr>
          <w:rFonts w:ascii="Aptos" w:hAnsi="Aptos" w:eastAsia="Microsoft YaHei"/>
          <w:color w:val="1F1F1F"/>
          <w:sz w:val="20"/>
        </w:rPr>
        <w:t>自动处理传统多页网站和 History API 驱动的 SPA 路由。</w:t>
      </w:r>
    </w:p>
    <w:p>
      <w:pPr>
        <w:pStyle w:val="ListBullet"/>
        <w:keepNext w:val="0"/>
        <w:keepLines/>
        <w:spacing w:before="0" w:after="60" w:line="312" w:lineRule="auto"/>
        <w:ind w:left="425" w:hanging="198"/>
      </w:pPr>
      <w:r>
        <w:rPr>
          <w:rFonts w:ascii="Aptos" w:hAnsi="Aptos" w:eastAsia="Microsoft YaHei"/>
          <w:color w:val="1F1F1F"/>
          <w:sz w:val="20"/>
        </w:rPr>
        <w:t>事件进入内存队列后批量发送，达到数量、时间或页面隐藏条件时刷新。</w:t>
      </w:r>
    </w:p>
    <w:p>
      <w:pPr>
        <w:pStyle w:val="ListBullet"/>
        <w:keepNext w:val="0"/>
        <w:keepLines/>
        <w:spacing w:before="0" w:after="60" w:line="312" w:lineRule="auto"/>
        <w:ind w:left="425" w:hanging="198"/>
      </w:pPr>
      <w:r>
        <w:rPr>
          <w:rFonts w:ascii="Aptos" w:hAnsi="Aptos" w:eastAsia="Microsoft YaHei"/>
          <w:color w:val="1F1F1F"/>
          <w:sz w:val="20"/>
        </w:rPr>
        <w:t>网络失败使用指数退避并限制最大重试次数，避免影响业务请求。</w:t>
      </w:r>
    </w:p>
    <w:p>
      <w:pPr>
        <w:pStyle w:val="ListBullet"/>
        <w:keepNext w:val="0"/>
        <w:keepLines/>
        <w:spacing w:before="0" w:after="60" w:line="312" w:lineRule="auto"/>
        <w:ind w:left="425" w:hanging="198"/>
      </w:pPr>
      <w:r>
        <w:rPr>
          <w:rFonts w:ascii="Aptos" w:hAnsi="Aptos" w:eastAsia="Microsoft YaHei"/>
          <w:color w:val="1F1F1F"/>
          <w:sz w:val="20"/>
        </w:rPr>
        <w:t>为每个事件生成 UUID，并携带批次 ID 和序列号，便于服务端去重和诊断。</w:t>
      </w:r>
    </w:p>
    <w:p>
      <w:pPr>
        <w:pStyle w:val="ListBullet"/>
        <w:keepNext w:val="0"/>
        <w:keepLines/>
        <w:spacing w:before="0" w:after="60" w:line="312" w:lineRule="auto"/>
        <w:ind w:left="425" w:hanging="198"/>
      </w:pPr>
      <w:r>
        <w:rPr>
          <w:rFonts w:ascii="Aptos" w:hAnsi="Aptos" w:eastAsia="Microsoft YaHei"/>
          <w:color w:val="1F1F1F"/>
          <w:sz w:val="20"/>
        </w:rPr>
        <w:t>提供 init、track、identify、reset、consent、flush 和 onError 接口。</w:t>
      </w:r>
    </w:p>
    <w:p>
      <w:pPr>
        <w:pStyle w:val="ListBullet"/>
        <w:keepNext w:val="0"/>
        <w:keepLines/>
        <w:spacing w:before="0" w:after="60" w:line="312" w:lineRule="auto"/>
        <w:ind w:left="425" w:hanging="198"/>
      </w:pPr>
      <w:r>
        <w:rPr>
          <w:rFonts w:ascii="Aptos" w:hAnsi="Aptos" w:eastAsia="Microsoft YaHei"/>
          <w:color w:val="1F1F1F"/>
          <w:sz w:val="20"/>
        </w:rPr>
        <w:t>支持采集字段允许列表、URL 参数过滤、元素选择器配置和采样比例。</w:t>
      </w:r>
    </w:p>
    <w:p>
      <w:pPr>
        <w:pStyle w:val="Heading2"/>
        <w:keepNext/>
        <w:keepLines/>
      </w:pPr>
      <w:r>
        <w:rPr>
          <w:rFonts w:ascii="Aptos Display" w:hAnsi="Aptos Display" w:eastAsia="Microsoft YaHei"/>
          <w:color w:val="000000"/>
        </w:rPr>
        <w:t>4 3 有效停留计算</w:t>
      </w:r>
    </w:p>
    <w:p>
      <w:pPr>
        <w:spacing w:before="0" w:after="120" w:line="341" w:lineRule="auto"/>
        <w:ind w:firstLine="420"/>
      </w:pPr>
      <w:r>
        <w:rPr>
          <w:rFonts w:ascii="Aptos" w:hAnsi="Aptos" w:eastAsia="Microsoft YaHei"/>
          <w:color w:val="1F1F1F"/>
          <w:sz w:val="21"/>
        </w:rPr>
        <w:t>有效停留时间不能简单使用离开时间减进入时间。SDK 只在页面可见、窗口具有焦点且用户近期发生鼠标、滚动、键盘或触摸活动时累计 active_ms。页面进入 hidden 状态时应立即停止累计并刷新剩余事件。visibilitychange 是页面切换到后台或关闭前较可靠的可观察信号，sendBeacon 适合在页面结束阶段发送小型分析数据。</w:t>
      </w:r>
    </w:p>
    <w:tbl>
      <w:tblPr>
        <w:tblW w:type="auto" w:w="0"/>
        <w:jc w:val="center"/>
        <w:tblLayout w:type="fixed"/>
        <w:tblLook w:firstColumn="1" w:firstRow="1" w:lastColumn="0" w:lastRow="0" w:noHBand="0" w:noVBand="1" w:val="04A0"/>
      </w:tblPr>
      <w:tblGrid>
        <w:gridCol w:w="3081"/>
        <w:gridCol w:w="3081"/>
        <w:gridCol w:w="3081"/>
      </w:tblGrid>
      <w:tr>
        <w:trPr>
          <w:tblHeader w:val="true"/>
          <w:cantSplit w:val="true"/>
        </w:trPr>
        <w:tc>
          <w:tcPr>
            <w:tcW w:type="dxa" w:w="1701"/>
            <w:shd w:fill="17365D"/>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76" w:lineRule="auto"/>
              <w:jc w:val="center"/>
            </w:pPr>
            <w:r/>
            <w:r>
              <w:rPr>
                <w:rFonts w:ascii="Aptos" w:hAnsi="Aptos" w:eastAsia="Microsoft YaHei"/>
                <w:b/>
                <w:color w:val="FFFFFF"/>
                <w:sz w:val="18"/>
              </w:rPr>
              <w:t>参数</w:t>
            </w:r>
          </w:p>
        </w:tc>
        <w:tc>
          <w:tcPr>
            <w:tcW w:type="dxa" w:w="2098"/>
            <w:shd w:fill="17365D"/>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76" w:lineRule="auto"/>
              <w:jc w:val="center"/>
            </w:pPr>
            <w:r/>
            <w:r>
              <w:rPr>
                <w:rFonts w:ascii="Aptos" w:hAnsi="Aptos" w:eastAsia="Microsoft YaHei"/>
                <w:b/>
                <w:color w:val="FFFFFF"/>
                <w:sz w:val="18"/>
              </w:rPr>
              <w:t>建议初值</w:t>
            </w:r>
          </w:p>
        </w:tc>
        <w:tc>
          <w:tcPr>
            <w:tcW w:type="dxa" w:w="5102"/>
            <w:shd w:fill="17365D"/>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76" w:lineRule="auto"/>
              <w:jc w:val="center"/>
            </w:pPr>
            <w:r/>
            <w:r>
              <w:rPr>
                <w:rFonts w:ascii="Aptos" w:hAnsi="Aptos" w:eastAsia="Microsoft YaHei"/>
                <w:b/>
                <w:color w:val="FFFFFF"/>
                <w:sz w:val="18"/>
              </w:rPr>
              <w:t>说明</w:t>
            </w:r>
          </w:p>
        </w:tc>
      </w:tr>
      <w:tr>
        <w:trPr>
          <w:cantSplit w:val="true"/>
        </w:trPr>
        <w:tc>
          <w:tcPr>
            <w:tcW w:type="dxa" w:w="1701"/>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会话超时</w:t>
            </w:r>
          </w:p>
        </w:tc>
        <w:tc>
          <w:tcPr>
            <w:tcW w:type="dxa" w:w="2098"/>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30 分钟无活动</w:t>
            </w:r>
          </w:p>
        </w:tc>
        <w:tc>
          <w:tcPr>
            <w:tcW w:type="dxa" w:w="5102"/>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后台可按网站配置</w:t>
            </w:r>
          </w:p>
        </w:tc>
      </w:tr>
      <w:tr>
        <w:trPr>
          <w:cantSplit w:val="true"/>
        </w:trPr>
        <w:tc>
          <w:tcPr>
            <w:tcW w:type="dxa" w:w="1701"/>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活跃心跳</w:t>
            </w:r>
          </w:p>
        </w:tc>
        <w:tc>
          <w:tcPr>
            <w:tcW w:type="dxa" w:w="2098"/>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10 至 15 秒</w:t>
            </w:r>
          </w:p>
        </w:tc>
        <w:tc>
          <w:tcPr>
            <w:tcW w:type="dxa" w:w="5102"/>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仅用于累计，避免每次都单独写事件</w:t>
            </w:r>
          </w:p>
        </w:tc>
      </w:tr>
      <w:tr>
        <w:trPr>
          <w:cantSplit w:val="true"/>
        </w:trPr>
        <w:tc>
          <w:tcPr>
            <w:tcW w:type="dxa" w:w="1701"/>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近期活动窗口</w:t>
            </w:r>
          </w:p>
        </w:tc>
        <w:tc>
          <w:tcPr>
            <w:tcW w:type="dxa" w:w="2098"/>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60 秒</w:t>
            </w:r>
          </w:p>
        </w:tc>
        <w:tc>
          <w:tcPr>
            <w:tcW w:type="dxa" w:w="5102"/>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超过后暂停 active_ms</w:t>
            </w:r>
          </w:p>
        </w:tc>
      </w:tr>
      <w:tr>
        <w:trPr>
          <w:cantSplit w:val="true"/>
        </w:trPr>
        <w:tc>
          <w:tcPr>
            <w:tcW w:type="dxa" w:w="1701"/>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常规批次</w:t>
            </w:r>
          </w:p>
        </w:tc>
        <w:tc>
          <w:tcPr>
            <w:tcW w:type="dxa" w:w="2098"/>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10 至 20 个事件或 5 至 10 秒</w:t>
            </w:r>
          </w:p>
        </w:tc>
        <w:tc>
          <w:tcPr>
            <w:tcW w:type="dxa" w:w="5102"/>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需结合负载测试调整</w:t>
            </w:r>
          </w:p>
        </w:tc>
      </w:tr>
      <w:tr>
        <w:trPr>
          <w:cantSplit w:val="true"/>
        </w:trPr>
        <w:tc>
          <w:tcPr>
            <w:tcW w:type="dxa" w:w="1701"/>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结束批次</w:t>
            </w:r>
          </w:p>
        </w:tc>
        <w:tc>
          <w:tcPr>
            <w:tcW w:type="dxa" w:w="2098"/>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小于 64 KiB</w:t>
            </w:r>
          </w:p>
        </w:tc>
        <w:tc>
          <w:tcPr>
            <w:tcW w:type="dxa" w:w="5102"/>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超出时拆批或使用 fetch keepalive</w:t>
            </w:r>
          </w:p>
        </w:tc>
      </w:tr>
    </w:tbl>
    <w:p>
      <w:pPr>
        <w:spacing w:before="0" w:after="40" w:line="240" w:lineRule="auto"/>
      </w:pPr>
    </w:p>
    <w:p>
      <w:pPr>
        <w:pStyle w:val="Heading2"/>
        <w:keepNext/>
        <w:keepLines/>
      </w:pPr>
      <w:r>
        <w:rPr>
          <w:rFonts w:ascii="Aptos Display" w:hAnsi="Aptos Display" w:eastAsia="Microsoft YaHei"/>
          <w:color w:val="000000"/>
        </w:rPr>
        <w:t>4 4 匿名标识</w:t>
      </w:r>
    </w:p>
    <w:p>
      <w:pPr>
        <w:spacing w:before="0" w:after="120" w:line="341" w:lineRule="auto"/>
        <w:ind w:firstLine="420"/>
      </w:pPr>
      <w:r>
        <w:rPr>
          <w:rFonts w:ascii="Aptos" w:hAnsi="Aptos" w:eastAsia="Microsoft YaHei"/>
          <w:color w:val="1F1F1F"/>
          <w:sz w:val="21"/>
        </w:rPr>
        <w:t>anonymous_id 使用加密安全随机数生成并保存在第一方 Cookie 或站点自身源下的存储中。系统不应同时使用 Cookie 和 localStorage 相互恢复已被用户删除的标识，因为这种做法会违背用户清除追踪状态的意图。Cookie 被清除、进入无痕模式或更换设备后，系统只能在用户再次登录或提供已验证身份时重新建立关联。</w:t>
      </w:r>
    </w:p>
    <w:p>
      <w:pPr>
        <w:pStyle w:val="Heading2"/>
        <w:keepNext/>
        <w:keepLines/>
      </w:pPr>
      <w:r>
        <w:rPr>
          <w:rFonts w:ascii="Aptos Display" w:hAnsi="Aptos Display" w:eastAsia="Microsoft YaHei"/>
          <w:color w:val="000000"/>
        </w:rPr>
        <w:t>4 5 SDK 性能目标</w:t>
      </w:r>
    </w:p>
    <w:tbl>
      <w:tblPr>
        <w:tblW w:type="auto" w:w="0"/>
        <w:jc w:val="center"/>
        <w:tblLayout w:type="fixed"/>
        <w:tblLook w:firstColumn="1" w:firstRow="1" w:lastColumn="0" w:lastRow="0" w:noHBand="0" w:noVBand="1" w:val="04A0"/>
      </w:tblPr>
      <w:tblGrid>
        <w:gridCol w:w="3081"/>
        <w:gridCol w:w="3081"/>
        <w:gridCol w:w="3081"/>
      </w:tblGrid>
      <w:tr>
        <w:trPr>
          <w:tblHeader w:val="true"/>
          <w:cantSplit w:val="true"/>
        </w:trPr>
        <w:tc>
          <w:tcPr>
            <w:tcW w:type="dxa" w:w="1701"/>
            <w:shd w:fill="17365D"/>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76" w:lineRule="auto"/>
              <w:jc w:val="center"/>
            </w:pPr>
            <w:r/>
            <w:r>
              <w:rPr>
                <w:rFonts w:ascii="Aptos" w:hAnsi="Aptos" w:eastAsia="Microsoft YaHei"/>
                <w:b/>
                <w:color w:val="FFFFFF"/>
                <w:sz w:val="18"/>
              </w:rPr>
              <w:t>指标</w:t>
            </w:r>
          </w:p>
        </w:tc>
        <w:tc>
          <w:tcPr>
            <w:tcW w:type="dxa" w:w="3572"/>
            <w:shd w:fill="17365D"/>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76" w:lineRule="auto"/>
              <w:jc w:val="center"/>
            </w:pPr>
            <w:r/>
            <w:r>
              <w:rPr>
                <w:rFonts w:ascii="Aptos" w:hAnsi="Aptos" w:eastAsia="Microsoft YaHei"/>
                <w:b/>
                <w:color w:val="FFFFFF"/>
                <w:sz w:val="18"/>
              </w:rPr>
              <w:t>建议验收目标</w:t>
            </w:r>
          </w:p>
        </w:tc>
        <w:tc>
          <w:tcPr>
            <w:tcW w:type="dxa" w:w="3628"/>
            <w:shd w:fill="17365D"/>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76" w:lineRule="auto"/>
              <w:jc w:val="center"/>
            </w:pPr>
            <w:r/>
            <w:r>
              <w:rPr>
                <w:rFonts w:ascii="Aptos" w:hAnsi="Aptos" w:eastAsia="Microsoft YaHei"/>
                <w:b/>
                <w:color w:val="FFFFFF"/>
                <w:sz w:val="18"/>
              </w:rPr>
              <w:t>验证方式</w:t>
            </w:r>
          </w:p>
        </w:tc>
      </w:tr>
      <w:tr>
        <w:trPr>
          <w:cantSplit w:val="true"/>
        </w:trPr>
        <w:tc>
          <w:tcPr>
            <w:tcW w:type="dxa" w:w="1701"/>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SDK 体积</w:t>
            </w:r>
          </w:p>
        </w:tc>
        <w:tc>
          <w:tcPr>
            <w:tcW w:type="dxa" w:w="3572"/>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核心包 gzip 后不超过 40 KB</w:t>
            </w:r>
          </w:p>
        </w:tc>
        <w:tc>
          <w:tcPr>
            <w:tcW w:type="dxa" w:w="3628"/>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构建产物检查</w:t>
            </w:r>
          </w:p>
        </w:tc>
      </w:tr>
      <w:tr>
        <w:trPr>
          <w:cantSplit w:val="true"/>
        </w:trPr>
        <w:tc>
          <w:tcPr>
            <w:tcW w:type="dxa" w:w="1701"/>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主线程影响</w:t>
            </w:r>
          </w:p>
        </w:tc>
        <w:tc>
          <w:tcPr>
            <w:tcW w:type="dxa" w:w="3572"/>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常规页面不出现由 SDK 引起的长任务</w:t>
            </w:r>
          </w:p>
        </w:tc>
        <w:tc>
          <w:tcPr>
            <w:tcW w:type="dxa" w:w="3628"/>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浏览器性能分析</w:t>
            </w:r>
          </w:p>
        </w:tc>
      </w:tr>
      <w:tr>
        <w:trPr>
          <w:cantSplit w:val="true"/>
        </w:trPr>
        <w:tc>
          <w:tcPr>
            <w:tcW w:type="dxa" w:w="1701"/>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业务隔离</w:t>
            </w:r>
          </w:p>
        </w:tc>
        <w:tc>
          <w:tcPr>
            <w:tcW w:type="dxa" w:w="3572"/>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采集失败不阻断页面、表单或支付流程</w:t>
            </w:r>
          </w:p>
        </w:tc>
        <w:tc>
          <w:tcPr>
            <w:tcW w:type="dxa" w:w="3628"/>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故障注入测试</w:t>
            </w:r>
          </w:p>
        </w:tc>
      </w:tr>
      <w:tr>
        <w:trPr>
          <w:cantSplit w:val="true"/>
        </w:trPr>
        <w:tc>
          <w:tcPr>
            <w:tcW w:type="dxa" w:w="1701"/>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兼容性</w:t>
            </w:r>
          </w:p>
        </w:tc>
        <w:tc>
          <w:tcPr>
            <w:tcW w:type="dxa" w:w="3572"/>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覆盖项目确认的主流桌面与移动浏览器</w:t>
            </w:r>
          </w:p>
        </w:tc>
        <w:tc>
          <w:tcPr>
            <w:tcW w:type="dxa" w:w="3628"/>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浏览器矩阵测试</w:t>
            </w:r>
          </w:p>
        </w:tc>
      </w:tr>
      <w:tr>
        <w:trPr>
          <w:cantSplit w:val="true"/>
        </w:trPr>
        <w:tc>
          <w:tcPr>
            <w:tcW w:type="dxa" w:w="1701"/>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可观测性</w:t>
            </w:r>
          </w:p>
        </w:tc>
        <w:tc>
          <w:tcPr>
            <w:tcW w:type="dxa" w:w="3572"/>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采集初始化、丢弃、重试和版本可诊断</w:t>
            </w:r>
          </w:p>
        </w:tc>
        <w:tc>
          <w:tcPr>
            <w:tcW w:type="dxa" w:w="3628"/>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SDK 诊断日志及后台指标</w:t>
            </w:r>
          </w:p>
        </w:tc>
      </w:tr>
    </w:tbl>
    <w:p>
      <w:pPr>
        <w:spacing w:before="0" w:after="40" w:line="240" w:lineRule="auto"/>
      </w:pPr>
    </w:p>
    <w:p>
      <w:pPr>
        <w:pStyle w:val="Heading1"/>
        <w:keepNext/>
        <w:keepLines/>
      </w:pPr>
      <w:r>
        <w:rPr>
          <w:rFonts w:ascii="Aptos Display" w:hAnsi="Aptos Display" w:eastAsia="Microsoft YaHei"/>
          <w:color w:val="000000"/>
        </w:rPr>
        <w:t>5 身份识别和客户合并</w:t>
      </w:r>
    </w:p>
    <w:p>
      <w:pPr>
        <w:pStyle w:val="Heading2"/>
        <w:keepNext/>
        <w:keepLines/>
      </w:pPr>
      <w:r>
        <w:rPr>
          <w:rFonts w:ascii="Aptos Display" w:hAnsi="Aptos Display" w:eastAsia="Microsoft YaHei"/>
          <w:color w:val="000000"/>
        </w:rPr>
        <w:t>5 1 身份层级</w:t>
      </w:r>
    </w:p>
    <w:tbl>
      <w:tblPr>
        <w:tblW w:type="auto" w:w="0"/>
        <w:jc w:val="center"/>
        <w:tblLayout w:type="fixed"/>
        <w:tblLook w:firstColumn="1" w:firstRow="1" w:lastColumn="0" w:lastRow="0" w:noHBand="0" w:noVBand="1" w:val="04A0"/>
      </w:tblPr>
      <w:tblGrid>
        <w:gridCol w:w="3081"/>
        <w:gridCol w:w="3081"/>
        <w:gridCol w:w="3081"/>
      </w:tblGrid>
      <w:tr>
        <w:trPr>
          <w:tblHeader w:val="true"/>
          <w:cantSplit w:val="true"/>
        </w:trPr>
        <w:tc>
          <w:tcPr>
            <w:tcW w:type="dxa" w:w="1474"/>
            <w:shd w:fill="17365D"/>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76" w:lineRule="auto"/>
              <w:jc w:val="center"/>
            </w:pPr>
            <w:r/>
            <w:r>
              <w:rPr>
                <w:rFonts w:ascii="Aptos" w:hAnsi="Aptos" w:eastAsia="Microsoft YaHei"/>
                <w:b/>
                <w:color w:val="FFFFFF"/>
                <w:sz w:val="18"/>
              </w:rPr>
              <w:t>对象</w:t>
            </w:r>
          </w:p>
        </w:tc>
        <w:tc>
          <w:tcPr>
            <w:tcW w:type="dxa" w:w="2835"/>
            <w:shd w:fill="17365D"/>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76" w:lineRule="auto"/>
              <w:jc w:val="center"/>
            </w:pPr>
            <w:r/>
            <w:r>
              <w:rPr>
                <w:rFonts w:ascii="Aptos" w:hAnsi="Aptos" w:eastAsia="Microsoft YaHei"/>
                <w:b/>
                <w:color w:val="FFFFFF"/>
                <w:sz w:val="18"/>
              </w:rPr>
              <w:t>标识</w:t>
            </w:r>
          </w:p>
        </w:tc>
        <w:tc>
          <w:tcPr>
            <w:tcW w:type="dxa" w:w="4592"/>
            <w:shd w:fill="17365D"/>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76" w:lineRule="auto"/>
              <w:jc w:val="center"/>
            </w:pPr>
            <w:r/>
            <w:r>
              <w:rPr>
                <w:rFonts w:ascii="Aptos" w:hAnsi="Aptos" w:eastAsia="Microsoft YaHei"/>
                <w:b/>
                <w:color w:val="FFFFFF"/>
                <w:sz w:val="18"/>
              </w:rPr>
              <w:t>含义</w:t>
            </w:r>
          </w:p>
        </w:tc>
      </w:tr>
      <w:tr>
        <w:trPr>
          <w:cantSplit w:val="true"/>
        </w:trPr>
        <w:tc>
          <w:tcPr>
            <w:tcW w:type="dxa" w:w="1474"/>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8"/>
              </w:rPr>
              <w:t>访客</w:t>
            </w:r>
          </w:p>
        </w:tc>
        <w:tc>
          <w:tcPr>
            <w:tcW w:type="dxa" w:w="2835"/>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8"/>
              </w:rPr>
              <w:t>visitor_id anonymous_id</w:t>
            </w:r>
          </w:p>
        </w:tc>
        <w:tc>
          <w:tcPr>
            <w:tcW w:type="dxa" w:w="4592"/>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8"/>
              </w:rPr>
              <w:t>某一浏览器存储范围内的匿名主体</w:t>
            </w:r>
          </w:p>
        </w:tc>
      </w:tr>
      <w:tr>
        <w:trPr>
          <w:cantSplit w:val="true"/>
        </w:trPr>
        <w:tc>
          <w:tcPr>
            <w:tcW w:type="dxa" w:w="1474"/>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8"/>
              </w:rPr>
              <w:t>会话</w:t>
            </w:r>
          </w:p>
        </w:tc>
        <w:tc>
          <w:tcPr>
            <w:tcW w:type="dxa" w:w="2835"/>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8"/>
              </w:rPr>
              <w:t>session_id</w:t>
            </w:r>
          </w:p>
        </w:tc>
        <w:tc>
          <w:tcPr>
            <w:tcW w:type="dxa" w:w="4592"/>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8"/>
              </w:rPr>
              <w:t>一段连续访问活动</w:t>
            </w:r>
          </w:p>
        </w:tc>
      </w:tr>
      <w:tr>
        <w:trPr>
          <w:cantSplit w:val="true"/>
        </w:trPr>
        <w:tc>
          <w:tcPr>
            <w:tcW w:type="dxa" w:w="1474"/>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8"/>
              </w:rPr>
              <w:t>客户</w:t>
            </w:r>
          </w:p>
        </w:tc>
        <w:tc>
          <w:tcPr>
            <w:tcW w:type="dxa" w:w="2835"/>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8"/>
              </w:rPr>
              <w:t>contact_id</w:t>
            </w:r>
          </w:p>
        </w:tc>
        <w:tc>
          <w:tcPr>
            <w:tcW w:type="dxa" w:w="4592"/>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8"/>
              </w:rPr>
              <w:t>独立后台中的统一客户档案</w:t>
            </w:r>
          </w:p>
        </w:tc>
      </w:tr>
      <w:tr>
        <w:trPr>
          <w:cantSplit w:val="true"/>
        </w:trPr>
        <w:tc>
          <w:tcPr>
            <w:tcW w:type="dxa" w:w="1474"/>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8"/>
              </w:rPr>
              <w:t>外部身份</w:t>
            </w:r>
          </w:p>
        </w:tc>
        <w:tc>
          <w:tcPr>
            <w:tcW w:type="dxa" w:w="2835"/>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8"/>
              </w:rPr>
              <w:t>external_user_id</w:t>
            </w:r>
          </w:p>
        </w:tc>
        <w:tc>
          <w:tcPr>
            <w:tcW w:type="dxa" w:w="4592"/>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8"/>
              </w:rPr>
              <w:t>网站 CRM 或商城中的稳定用户 ID</w:t>
            </w:r>
          </w:p>
        </w:tc>
      </w:tr>
      <w:tr>
        <w:trPr>
          <w:cantSplit w:val="true"/>
        </w:trPr>
        <w:tc>
          <w:tcPr>
            <w:tcW w:type="dxa" w:w="1474"/>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8"/>
              </w:rPr>
              <w:t>身份值</w:t>
            </w:r>
          </w:p>
        </w:tc>
        <w:tc>
          <w:tcPr>
            <w:tcW w:type="dxa" w:w="2835"/>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8"/>
              </w:rPr>
              <w:t>email phone</w:t>
            </w:r>
          </w:p>
        </w:tc>
        <w:tc>
          <w:tcPr>
            <w:tcW w:type="dxa" w:w="4592"/>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8"/>
              </w:rPr>
              <w:t>经过验证后可用于确定性匹配</w:t>
            </w:r>
          </w:p>
        </w:tc>
      </w:tr>
    </w:tbl>
    <w:p>
      <w:pPr>
        <w:spacing w:before="0" w:after="40" w:line="240" w:lineRule="auto"/>
      </w:pPr>
    </w:p>
    <w:p>
      <w:pPr>
        <w:pStyle w:val="Heading2"/>
        <w:keepNext/>
        <w:keepLines/>
      </w:pPr>
      <w:r>
        <w:rPr>
          <w:rFonts w:ascii="Aptos Display" w:hAnsi="Aptos Display" w:eastAsia="Microsoft YaHei"/>
          <w:color w:val="000000"/>
        </w:rPr>
        <w:t>5 2 合并规则</w:t>
      </w:r>
    </w:p>
    <w:p>
      <w:pPr>
        <w:spacing w:before="0" w:after="80" w:line="317" w:lineRule="auto"/>
        <w:ind w:left="465" w:hanging="238"/>
      </w:pPr>
      <w:r>
        <w:rPr>
          <w:rFonts w:ascii="Aptos" w:hAnsi="Aptos" w:eastAsia="Microsoft YaHei"/>
          <w:color w:val="1F1F1F"/>
          <w:sz w:val="20"/>
        </w:rPr>
        <w:t>1. 网站服务端在登录、注册或表单确认后生成短期签名身份令牌。</w:t>
      </w:r>
    </w:p>
    <w:p>
      <w:pPr>
        <w:spacing w:before="0" w:after="80" w:line="317" w:lineRule="auto"/>
        <w:ind w:left="465" w:hanging="238"/>
      </w:pPr>
      <w:r>
        <w:rPr>
          <w:rFonts w:ascii="Aptos" w:hAnsi="Aptos" w:eastAsia="Microsoft YaHei"/>
          <w:color w:val="1F1F1F"/>
          <w:sz w:val="20"/>
        </w:rPr>
        <w:t>2. 浏览器携带当前 anonymous_id 和身份令牌调用 identify。</w:t>
      </w:r>
    </w:p>
    <w:p>
      <w:pPr>
        <w:spacing w:before="0" w:after="80" w:line="317" w:lineRule="auto"/>
        <w:ind w:left="465" w:hanging="238"/>
      </w:pPr>
      <w:r>
        <w:rPr>
          <w:rFonts w:ascii="Aptos" w:hAnsi="Aptos" w:eastAsia="Microsoft YaHei"/>
          <w:color w:val="1F1F1F"/>
          <w:sz w:val="20"/>
        </w:rPr>
        <w:t>3. 后台验证签名、受众、网站、过期时间和一次性标识。</w:t>
      </w:r>
    </w:p>
    <w:p>
      <w:pPr>
        <w:spacing w:before="0" w:after="80" w:line="317" w:lineRule="auto"/>
        <w:ind w:left="465" w:hanging="238"/>
      </w:pPr>
      <w:r>
        <w:rPr>
          <w:rFonts w:ascii="Aptos" w:hAnsi="Aptos" w:eastAsia="Microsoft YaHei"/>
          <w:color w:val="1F1F1F"/>
          <w:sz w:val="20"/>
        </w:rPr>
        <w:t>4. 系统查找或创建 contact_id，并建立 visitor_id 与 contact_id 的关联。</w:t>
      </w:r>
    </w:p>
    <w:p>
      <w:pPr>
        <w:spacing w:before="0" w:after="80" w:line="317" w:lineRule="auto"/>
        <w:ind w:left="465" w:hanging="238"/>
      </w:pPr>
      <w:r>
        <w:rPr>
          <w:rFonts w:ascii="Aptos" w:hAnsi="Aptos" w:eastAsia="Microsoft YaHei"/>
          <w:color w:val="1F1F1F"/>
          <w:sz w:val="20"/>
        </w:rPr>
        <w:t>5. 历史事件不必批量改写；查询时通过身份关系表解析，后台任务再按需要回填聚合。</w:t>
      </w:r>
    </w:p>
    <w:p>
      <w:pPr>
        <w:spacing w:before="0" w:after="80" w:line="317" w:lineRule="auto"/>
        <w:ind w:left="465" w:hanging="238"/>
      </w:pPr>
      <w:r>
        <w:rPr>
          <w:rFonts w:ascii="Aptos" w:hAnsi="Aptos" w:eastAsia="Microsoft YaHei"/>
          <w:color w:val="1F1F1F"/>
          <w:sz w:val="20"/>
        </w:rPr>
        <w:t>6. 发生邮箱变更、账户合并或误合并时，写入可审计的关系变更记录。</w:t>
      </w:r>
    </w:p>
    <w:p>
      <w:pPr>
        <w:spacing w:before="0" w:after="120" w:line="341" w:lineRule="auto"/>
        <w:ind w:firstLine="420"/>
      </w:pPr>
      <w:r>
        <w:rPr>
          <w:rFonts w:ascii="Aptos" w:hAnsi="Aptos" w:eastAsia="Microsoft YaHei"/>
          <w:color w:val="1F1F1F"/>
          <w:sz w:val="21"/>
        </w:rPr>
        <w:t>系统只执行确定性合并。IP、城市、设备型号和相似浏览行为只能用于风险提示，不作为自动合并条件。同一邮箱在不同组织之间不得共享身份图谱，除非存在明确、合法且经过授权的跨组织业务场景。</w:t>
      </w:r>
    </w:p>
    <w:p>
      <w:pPr>
        <w:pStyle w:val="Heading1"/>
        <w:keepNext/>
        <w:keepLines/>
      </w:pPr>
      <w:r>
        <w:rPr>
          <w:rFonts w:ascii="Aptos Display" w:hAnsi="Aptos Display" w:eastAsia="Microsoft YaHei"/>
          <w:color w:val="000000"/>
        </w:rPr>
        <w:t>6 后台服务和接口</w:t>
      </w:r>
    </w:p>
    <w:p>
      <w:pPr>
        <w:pStyle w:val="Heading2"/>
        <w:keepNext/>
        <w:keepLines/>
      </w:pPr>
      <w:r>
        <w:rPr>
          <w:rFonts w:ascii="Aptos Display" w:hAnsi="Aptos Display" w:eastAsia="Microsoft YaHei"/>
          <w:color w:val="000000"/>
        </w:rPr>
        <w:t>6 1 技术栈</w:t>
      </w:r>
    </w:p>
    <w:tbl>
      <w:tblPr>
        <w:tblW w:type="auto" w:w="0"/>
        <w:jc w:val="center"/>
        <w:tblLayout w:type="fixed"/>
        <w:tblLook w:firstColumn="1" w:firstRow="1" w:lastColumn="0" w:lastRow="0" w:noHBand="0" w:noVBand="1" w:val="04A0"/>
      </w:tblPr>
      <w:tblGrid>
        <w:gridCol w:w="3081"/>
        <w:gridCol w:w="3081"/>
        <w:gridCol w:w="3081"/>
      </w:tblGrid>
      <w:tr>
        <w:trPr>
          <w:tblHeader w:val="true"/>
          <w:cantSplit w:val="true"/>
        </w:trPr>
        <w:tc>
          <w:tcPr>
            <w:tcW w:type="dxa" w:w="1417"/>
            <w:shd w:fill="17365D"/>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76" w:lineRule="auto"/>
              <w:jc w:val="center"/>
            </w:pPr>
            <w:r/>
            <w:r>
              <w:rPr>
                <w:rFonts w:ascii="Aptos" w:hAnsi="Aptos" w:eastAsia="Microsoft YaHei"/>
                <w:b/>
                <w:color w:val="FFFFFF"/>
                <w:sz w:val="18"/>
              </w:rPr>
              <w:t>层次</w:t>
            </w:r>
          </w:p>
        </w:tc>
        <w:tc>
          <w:tcPr>
            <w:tcW w:type="dxa" w:w="3288"/>
            <w:shd w:fill="17365D"/>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76" w:lineRule="auto"/>
              <w:jc w:val="center"/>
            </w:pPr>
            <w:r/>
            <w:r>
              <w:rPr>
                <w:rFonts w:ascii="Aptos" w:hAnsi="Aptos" w:eastAsia="Microsoft YaHei"/>
                <w:b/>
                <w:color w:val="FFFFFF"/>
                <w:sz w:val="18"/>
              </w:rPr>
              <w:t>MVP 建议</w:t>
            </w:r>
          </w:p>
        </w:tc>
        <w:tc>
          <w:tcPr>
            <w:tcW w:type="dxa" w:w="4195"/>
            <w:shd w:fill="17365D"/>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76" w:lineRule="auto"/>
              <w:jc w:val="center"/>
            </w:pPr>
            <w:r/>
            <w:r>
              <w:rPr>
                <w:rFonts w:ascii="Aptos" w:hAnsi="Aptos" w:eastAsia="Microsoft YaHei"/>
                <w:b/>
                <w:color w:val="FFFFFF"/>
                <w:sz w:val="18"/>
              </w:rPr>
              <w:t>扩展方向</w:t>
            </w:r>
          </w:p>
        </w:tc>
      </w:tr>
      <w:tr>
        <w:trPr>
          <w:cantSplit w:val="true"/>
        </w:trPr>
        <w:tc>
          <w:tcPr>
            <w:tcW w:type="dxa" w:w="1417"/>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管理前端</w:t>
            </w:r>
          </w:p>
        </w:tc>
        <w:tc>
          <w:tcPr>
            <w:tcW w:type="dxa" w:w="3288"/>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Next.js React TypeScript</w:t>
            </w:r>
          </w:p>
        </w:tc>
        <w:tc>
          <w:tcPr>
            <w:tcW w:type="dxa" w:w="4195"/>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按需拆分 BFF 或微前端</w:t>
            </w:r>
          </w:p>
        </w:tc>
      </w:tr>
      <w:tr>
        <w:trPr>
          <w:cantSplit w:val="true"/>
        </w:trPr>
        <w:tc>
          <w:tcPr>
            <w:tcW w:type="dxa" w:w="1417"/>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业务 API</w:t>
            </w:r>
          </w:p>
        </w:tc>
        <w:tc>
          <w:tcPr>
            <w:tcW w:type="dxa" w:w="3288"/>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Node.js NestJS</w:t>
            </w:r>
          </w:p>
        </w:tc>
        <w:tc>
          <w:tcPr>
            <w:tcW w:type="dxa" w:w="4195"/>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保留独立模块边界</w:t>
            </w:r>
          </w:p>
        </w:tc>
      </w:tr>
      <w:tr>
        <w:trPr>
          <w:cantSplit w:val="true"/>
        </w:trPr>
        <w:tc>
          <w:tcPr>
            <w:tcW w:type="dxa" w:w="1417"/>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采集 API</w:t>
            </w:r>
          </w:p>
        </w:tc>
        <w:tc>
          <w:tcPr>
            <w:tcW w:type="dxa" w:w="3288"/>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Node.js Fastify 或 NestJS Fastify</w:t>
            </w:r>
          </w:p>
        </w:tc>
        <w:tc>
          <w:tcPr>
            <w:tcW w:type="dxa" w:w="4195"/>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高吞吐阶段可独立为 Go 服务</w:t>
            </w:r>
          </w:p>
        </w:tc>
      </w:tr>
      <w:tr>
        <w:trPr>
          <w:cantSplit w:val="true"/>
        </w:trPr>
        <w:tc>
          <w:tcPr>
            <w:tcW w:type="dxa" w:w="1417"/>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任务处理</w:t>
            </w:r>
          </w:p>
        </w:tc>
        <w:tc>
          <w:tcPr>
            <w:tcW w:type="dxa" w:w="3288"/>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Redis 队列和独立 Worker</w:t>
            </w:r>
          </w:p>
        </w:tc>
        <w:tc>
          <w:tcPr>
            <w:tcW w:type="dxa" w:w="4195"/>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高规模阶段引入 Kafka 或 NATS</w:t>
            </w:r>
          </w:p>
        </w:tc>
      </w:tr>
      <w:tr>
        <w:trPr>
          <w:cantSplit w:val="true"/>
        </w:trPr>
        <w:tc>
          <w:tcPr>
            <w:tcW w:type="dxa" w:w="1417"/>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关系数据</w:t>
            </w:r>
          </w:p>
        </w:tc>
        <w:tc>
          <w:tcPr>
            <w:tcW w:type="dxa" w:w="3288"/>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PostgreSQL</w:t>
            </w:r>
          </w:p>
        </w:tc>
        <w:tc>
          <w:tcPr>
            <w:tcW w:type="dxa" w:w="4195"/>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读副本 分区 连接池</w:t>
            </w:r>
          </w:p>
        </w:tc>
      </w:tr>
      <w:tr>
        <w:trPr>
          <w:cantSplit w:val="true"/>
        </w:trPr>
        <w:tc>
          <w:tcPr>
            <w:tcW w:type="dxa" w:w="1417"/>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分析事件</w:t>
            </w:r>
          </w:p>
        </w:tc>
        <w:tc>
          <w:tcPr>
            <w:tcW w:type="dxa" w:w="3288"/>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初期 PostgreSQL 分区表</w:t>
            </w:r>
          </w:p>
        </w:tc>
        <w:tc>
          <w:tcPr>
            <w:tcW w:type="dxa" w:w="4195"/>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规模增长后迁移 ClickHouse</w:t>
            </w:r>
          </w:p>
        </w:tc>
      </w:tr>
      <w:tr>
        <w:trPr>
          <w:cantSplit w:val="true"/>
        </w:trPr>
        <w:tc>
          <w:tcPr>
            <w:tcW w:type="dxa" w:w="1417"/>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对象文件</w:t>
            </w:r>
          </w:p>
        </w:tc>
        <w:tc>
          <w:tcPr>
            <w:tcW w:type="dxa" w:w="3288"/>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S3 兼容存储</w:t>
            </w:r>
          </w:p>
        </w:tc>
        <w:tc>
          <w:tcPr>
            <w:tcW w:type="dxa" w:w="4195"/>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导出 归档和备份</w:t>
            </w:r>
          </w:p>
        </w:tc>
      </w:tr>
      <w:tr>
        <w:trPr>
          <w:cantSplit w:val="true"/>
        </w:trPr>
        <w:tc>
          <w:tcPr>
            <w:tcW w:type="dxa" w:w="1417"/>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部署</w:t>
            </w:r>
          </w:p>
        </w:tc>
        <w:tc>
          <w:tcPr>
            <w:tcW w:type="dxa" w:w="3288"/>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Docker 加反向代理</w:t>
            </w:r>
          </w:p>
        </w:tc>
        <w:tc>
          <w:tcPr>
            <w:tcW w:type="dxa" w:w="4195"/>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Kubernetes 视团队能力和负载决定</w:t>
            </w:r>
          </w:p>
        </w:tc>
      </w:tr>
    </w:tbl>
    <w:p>
      <w:pPr>
        <w:spacing w:before="0" w:after="40" w:line="240" w:lineRule="auto"/>
      </w:pPr>
    </w:p>
    <w:p>
      <w:pPr>
        <w:pStyle w:val="Heading2"/>
        <w:keepNext/>
        <w:keepLines/>
      </w:pPr>
      <w:r>
        <w:rPr>
          <w:rFonts w:ascii="Aptos Display" w:hAnsi="Aptos Display" w:eastAsia="Microsoft YaHei"/>
          <w:color w:val="000000"/>
        </w:rPr>
        <w:t>6 2 接口目录</w:t>
      </w:r>
    </w:p>
    <w:tbl>
      <w:tblPr>
        <w:tblW w:type="auto" w:w="0"/>
        <w:jc w:val="center"/>
        <w:tblLayout w:type="fixed"/>
        <w:tblLook w:firstColumn="1" w:firstRow="1" w:lastColumn="0" w:lastRow="0" w:noHBand="0" w:noVBand="1" w:val="04A0"/>
      </w:tblPr>
      <w:tblGrid>
        <w:gridCol w:w="2310"/>
        <w:gridCol w:w="2310"/>
        <w:gridCol w:w="2310"/>
        <w:gridCol w:w="2310"/>
      </w:tblGrid>
      <w:tr>
        <w:trPr>
          <w:tblHeader w:val="true"/>
          <w:cantSplit w:val="true"/>
        </w:trPr>
        <w:tc>
          <w:tcPr>
            <w:tcW w:type="dxa" w:w="2438"/>
            <w:shd w:fill="17365D"/>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76" w:lineRule="auto"/>
              <w:jc w:val="center"/>
            </w:pPr>
            <w:r/>
            <w:r>
              <w:rPr>
                <w:rFonts w:ascii="Aptos" w:hAnsi="Aptos" w:eastAsia="Microsoft YaHei"/>
                <w:b/>
                <w:color w:val="FFFFFF"/>
                <w:sz w:val="18"/>
              </w:rPr>
              <w:t>方法和路径</w:t>
            </w:r>
          </w:p>
        </w:tc>
        <w:tc>
          <w:tcPr>
            <w:tcW w:type="dxa" w:w="1531"/>
            <w:shd w:fill="17365D"/>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76" w:lineRule="auto"/>
              <w:jc w:val="center"/>
            </w:pPr>
            <w:r/>
            <w:r>
              <w:rPr>
                <w:rFonts w:ascii="Aptos" w:hAnsi="Aptos" w:eastAsia="Microsoft YaHei"/>
                <w:b/>
                <w:color w:val="FFFFFF"/>
                <w:sz w:val="18"/>
              </w:rPr>
              <w:t>调用方</w:t>
            </w:r>
          </w:p>
        </w:tc>
        <w:tc>
          <w:tcPr>
            <w:tcW w:type="dxa" w:w="3118"/>
            <w:shd w:fill="17365D"/>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76" w:lineRule="auto"/>
              <w:jc w:val="center"/>
            </w:pPr>
            <w:r/>
            <w:r>
              <w:rPr>
                <w:rFonts w:ascii="Aptos" w:hAnsi="Aptos" w:eastAsia="Microsoft YaHei"/>
                <w:b/>
                <w:color w:val="FFFFFF"/>
                <w:sz w:val="18"/>
              </w:rPr>
              <w:t>用途</w:t>
            </w:r>
          </w:p>
        </w:tc>
        <w:tc>
          <w:tcPr>
            <w:tcW w:type="dxa" w:w="1814"/>
            <w:shd w:fill="17365D"/>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76" w:lineRule="auto"/>
              <w:jc w:val="center"/>
            </w:pPr>
            <w:r/>
            <w:r>
              <w:rPr>
                <w:rFonts w:ascii="Aptos" w:hAnsi="Aptos" w:eastAsia="Microsoft YaHei"/>
                <w:b/>
                <w:color w:val="FFFFFF"/>
                <w:sz w:val="18"/>
              </w:rPr>
              <w:t>认证</w:t>
            </w:r>
          </w:p>
        </w:tc>
      </w:tr>
      <w:tr>
        <w:trPr>
          <w:cantSplit w:val="true"/>
        </w:trPr>
        <w:tc>
          <w:tcPr>
            <w:tcW w:type="dxa" w:w="2438"/>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POST /v1/batch</w:t>
            </w:r>
          </w:p>
        </w:tc>
        <w:tc>
          <w:tcPr>
            <w:tcW w:type="dxa" w:w="1531"/>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JS SDK</w:t>
            </w:r>
          </w:p>
        </w:tc>
        <w:tc>
          <w:tcPr>
            <w:tcW w:type="dxa" w:w="3118"/>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批量写入浏览器事件</w:t>
            </w:r>
          </w:p>
        </w:tc>
        <w:tc>
          <w:tcPr>
            <w:tcW w:type="dxa" w:w="1814"/>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公开 Site ID 加来源限制和限流</w:t>
            </w:r>
          </w:p>
        </w:tc>
      </w:tr>
      <w:tr>
        <w:trPr>
          <w:cantSplit w:val="true"/>
        </w:trPr>
        <w:tc>
          <w:tcPr>
            <w:tcW w:type="dxa" w:w="2438"/>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POST /v1/identify</w:t>
            </w:r>
          </w:p>
        </w:tc>
        <w:tc>
          <w:tcPr>
            <w:tcW w:type="dxa" w:w="1531"/>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网站前端</w:t>
            </w:r>
          </w:p>
        </w:tc>
        <w:tc>
          <w:tcPr>
            <w:tcW w:type="dxa" w:w="3118"/>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使用短期令牌关联匿名访客</w:t>
            </w:r>
          </w:p>
        </w:tc>
        <w:tc>
          <w:tcPr>
            <w:tcW w:type="dxa" w:w="1814"/>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一次性签名令牌</w:t>
            </w:r>
          </w:p>
        </w:tc>
      </w:tr>
      <w:tr>
        <w:trPr>
          <w:cantSplit w:val="true"/>
        </w:trPr>
        <w:tc>
          <w:tcPr>
            <w:tcW w:type="dxa" w:w="2438"/>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POST /v1/server-events</w:t>
            </w:r>
          </w:p>
        </w:tc>
        <w:tc>
          <w:tcPr>
            <w:tcW w:type="dxa" w:w="1531"/>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网站服务端</w:t>
            </w:r>
          </w:p>
        </w:tc>
        <w:tc>
          <w:tcPr>
            <w:tcW w:type="dxa" w:w="3118"/>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写入注册 询盘 订单等业务事件</w:t>
            </w:r>
          </w:p>
        </w:tc>
        <w:tc>
          <w:tcPr>
            <w:tcW w:type="dxa" w:w="1814"/>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Site Secret 或请求签名</w:t>
            </w:r>
          </w:p>
        </w:tc>
      </w:tr>
      <w:tr>
        <w:trPr>
          <w:cantSplit w:val="true"/>
        </w:trPr>
        <w:tc>
          <w:tcPr>
            <w:tcW w:type="dxa" w:w="2438"/>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POST /v1/consent</w:t>
            </w:r>
          </w:p>
        </w:tc>
        <w:tc>
          <w:tcPr>
            <w:tcW w:type="dxa" w:w="1531"/>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JS SDK</w:t>
            </w:r>
          </w:p>
        </w:tc>
        <w:tc>
          <w:tcPr>
            <w:tcW w:type="dxa" w:w="3118"/>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记录同意 拒绝或撤回</w:t>
            </w:r>
          </w:p>
        </w:tc>
        <w:tc>
          <w:tcPr>
            <w:tcW w:type="dxa" w:w="1814"/>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Site ID 加访客上下文</w:t>
            </w:r>
          </w:p>
        </w:tc>
      </w:tr>
      <w:tr>
        <w:trPr>
          <w:cantSplit w:val="true"/>
        </w:trPr>
        <w:tc>
          <w:tcPr>
            <w:tcW w:type="dxa" w:w="2438"/>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GET /v1/contacts</w:t>
            </w:r>
          </w:p>
        </w:tc>
        <w:tc>
          <w:tcPr>
            <w:tcW w:type="dxa" w:w="1531"/>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管理后台</w:t>
            </w:r>
          </w:p>
        </w:tc>
        <w:tc>
          <w:tcPr>
            <w:tcW w:type="dxa" w:w="3118"/>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客户列表和筛选</w:t>
            </w:r>
          </w:p>
        </w:tc>
        <w:tc>
          <w:tcPr>
            <w:tcW w:type="dxa" w:w="1814"/>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用户会话加组织权限</w:t>
            </w:r>
          </w:p>
        </w:tc>
      </w:tr>
      <w:tr>
        <w:trPr>
          <w:cantSplit w:val="true"/>
        </w:trPr>
        <w:tc>
          <w:tcPr>
            <w:tcW w:type="dxa" w:w="2438"/>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GET /v1/contacts/:id/timeline</w:t>
            </w:r>
          </w:p>
        </w:tc>
        <w:tc>
          <w:tcPr>
            <w:tcW w:type="dxa" w:w="1531"/>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管理后台</w:t>
            </w:r>
          </w:p>
        </w:tc>
        <w:tc>
          <w:tcPr>
            <w:tcW w:type="dxa" w:w="3118"/>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客户时间线</w:t>
            </w:r>
          </w:p>
        </w:tc>
        <w:tc>
          <w:tcPr>
            <w:tcW w:type="dxa" w:w="1814"/>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对象和字段级授权</w:t>
            </w:r>
          </w:p>
        </w:tc>
      </w:tr>
      <w:tr>
        <w:trPr>
          <w:cantSplit w:val="true"/>
        </w:trPr>
        <w:tc>
          <w:tcPr>
            <w:tcW w:type="dxa" w:w="2438"/>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POST /v1/exports</w:t>
            </w:r>
          </w:p>
        </w:tc>
        <w:tc>
          <w:tcPr>
            <w:tcW w:type="dxa" w:w="1531"/>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管理后台</w:t>
            </w:r>
          </w:p>
        </w:tc>
        <w:tc>
          <w:tcPr>
            <w:tcW w:type="dxa" w:w="3118"/>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异步生成导出文件</w:t>
            </w:r>
          </w:p>
        </w:tc>
        <w:tc>
          <w:tcPr>
            <w:tcW w:type="dxa" w:w="1814"/>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高权限加审计</w:t>
            </w:r>
          </w:p>
        </w:tc>
      </w:tr>
      <w:tr>
        <w:trPr>
          <w:cantSplit w:val="true"/>
        </w:trPr>
        <w:tc>
          <w:tcPr>
            <w:tcW w:type="dxa" w:w="2438"/>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POST /v1/privacy/erase</w:t>
            </w:r>
          </w:p>
        </w:tc>
        <w:tc>
          <w:tcPr>
            <w:tcW w:type="dxa" w:w="1531"/>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管理后台</w:t>
            </w:r>
          </w:p>
        </w:tc>
        <w:tc>
          <w:tcPr>
            <w:tcW w:type="dxa" w:w="3118"/>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删除或匿名化个人数据</w:t>
            </w:r>
          </w:p>
        </w:tc>
        <w:tc>
          <w:tcPr>
            <w:tcW w:type="dxa" w:w="1814"/>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审批权限加审计</w:t>
            </w:r>
          </w:p>
        </w:tc>
      </w:tr>
    </w:tbl>
    <w:p>
      <w:pPr>
        <w:spacing w:before="0" w:after="40" w:line="240" w:lineRule="auto"/>
      </w:pPr>
    </w:p>
    <w:p>
      <w:pPr>
        <w:pStyle w:val="Heading2"/>
        <w:keepNext/>
        <w:keepLines/>
      </w:pPr>
      <w:r>
        <w:rPr>
          <w:rFonts w:ascii="Aptos Display" w:hAnsi="Aptos Display" w:eastAsia="Microsoft YaHei"/>
          <w:color w:val="000000"/>
        </w:rPr>
        <w:t>6 3 浏览器批次示例</w:t>
      </w:r>
    </w:p>
    <w:p>
      <w:pPr>
        <w:keepNext w:val="0"/>
        <w:keepLines/>
        <w:spacing w:before="0" w:after="60" w:line="276" w:lineRule="auto"/>
        <w:ind w:left="482" w:right="255"/>
      </w:pPr>
      <w:r>
        <w:rPr>
          <w:rFonts w:ascii="Consolas" w:hAnsi="Consolas" w:eastAsia="Microsoft YaHei"/>
          <w:color w:val="1F1F1F"/>
          <w:sz w:val="17"/>
        </w:rPr>
        <w:t>{</w:t>
        <w:br/>
        <w:t xml:space="preserve">  "siteId": "site_123",</w:t>
        <w:br/>
        <w:t xml:space="preserve">  "anonymousId": "anon_abc",</w:t>
        <w:br/>
        <w:t xml:space="preserve">  "sessionId": "sess_xyz",</w:t>
        <w:br/>
        <w:t xml:space="preserve">  "sentAt": "2026-09-14T10:30:00Z",</w:t>
        <w:br/>
        <w:t xml:space="preserve">  "events": [{</w:t>
        <w:br/>
        <w:t xml:space="preserve">    "eventId": "evt_001",</w:t>
        <w:br/>
        <w:t xml:space="preserve">    "type": "page_view",</w:t>
        <w:br/>
        <w:t xml:space="preserve">    "occurredAt": "2026-09-14T10:29:30Z",</w:t>
        <w:br/>
        <w:t xml:space="preserve">    "properties": { "path": "/products/a", "title": "Product A" }</w:t>
        <w:br/>
        <w:t xml:space="preserve">  }]</w:t>
        <w:br/>
        <w:t>}</w:t>
      </w:r>
    </w:p>
    <w:p>
      <w:pPr>
        <w:pStyle w:val="Heading2"/>
        <w:keepNext/>
        <w:keepLines/>
      </w:pPr>
      <w:r>
        <w:rPr>
          <w:rFonts w:ascii="Aptos Display" w:hAnsi="Aptos Display" w:eastAsia="Microsoft YaHei"/>
          <w:color w:val="000000"/>
        </w:rPr>
        <w:t>6 4 采集处理规则</w:t>
      </w:r>
    </w:p>
    <w:p>
      <w:pPr>
        <w:pStyle w:val="ListBullet"/>
        <w:keepNext w:val="0"/>
        <w:keepLines/>
        <w:spacing w:before="0" w:after="60" w:line="312" w:lineRule="auto"/>
        <w:ind w:left="425" w:hanging="198"/>
      </w:pPr>
      <w:r>
        <w:rPr>
          <w:rFonts w:ascii="Aptos" w:hAnsi="Aptos" w:eastAsia="Microsoft YaHei"/>
          <w:color w:val="1F1F1F"/>
          <w:sz w:val="20"/>
        </w:rPr>
        <w:t>先验证站点状态、允许域名、请求大小、事件数量和字段结构，再进入队列。</w:t>
      </w:r>
    </w:p>
    <w:p>
      <w:pPr>
        <w:pStyle w:val="ListBullet"/>
        <w:keepNext w:val="0"/>
        <w:keepLines/>
        <w:spacing w:before="0" w:after="60" w:line="312" w:lineRule="auto"/>
        <w:ind w:left="425" w:hanging="198"/>
      </w:pPr>
      <w:r>
        <w:rPr>
          <w:rFonts w:ascii="Aptos" w:hAnsi="Aptos" w:eastAsia="Microsoft YaHei"/>
          <w:color w:val="1F1F1F"/>
          <w:sz w:val="20"/>
        </w:rPr>
        <w:t>浏览器发生时间偏离服务器时间超过阈值时加注标记，不直接覆盖原始时间。</w:t>
      </w:r>
    </w:p>
    <w:p>
      <w:pPr>
        <w:pStyle w:val="ListBullet"/>
        <w:keepNext w:val="0"/>
        <w:keepLines/>
        <w:spacing w:before="0" w:after="60" w:line="312" w:lineRule="auto"/>
        <w:ind w:left="425" w:hanging="198"/>
      </w:pPr>
      <w:r>
        <w:rPr>
          <w:rFonts w:ascii="Aptos" w:hAnsi="Aptos" w:eastAsia="Microsoft YaHei"/>
          <w:color w:val="1F1F1F"/>
          <w:sz w:val="20"/>
        </w:rPr>
        <w:t>event_id 在网站范围内唯一；重复事件返回成功但不重复入库。</w:t>
      </w:r>
    </w:p>
    <w:p>
      <w:pPr>
        <w:pStyle w:val="ListBullet"/>
        <w:keepNext w:val="0"/>
        <w:keepLines/>
        <w:spacing w:before="0" w:after="60" w:line="312" w:lineRule="auto"/>
        <w:ind w:left="425" w:hanging="198"/>
      </w:pPr>
      <w:r>
        <w:rPr>
          <w:rFonts w:ascii="Aptos" w:hAnsi="Aptos" w:eastAsia="Microsoft YaHei"/>
          <w:color w:val="1F1F1F"/>
          <w:sz w:val="20"/>
        </w:rPr>
        <w:t>未知事件或属性按照站点事件 Schema 拒绝、隔离或有限保留，不能无限扩张字段。</w:t>
      </w:r>
    </w:p>
    <w:p>
      <w:pPr>
        <w:pStyle w:val="ListBullet"/>
        <w:keepNext w:val="0"/>
        <w:keepLines/>
        <w:spacing w:before="0" w:after="60" w:line="312" w:lineRule="auto"/>
        <w:ind w:left="425" w:hanging="198"/>
      </w:pPr>
      <w:r>
        <w:rPr>
          <w:rFonts w:ascii="Aptos" w:hAnsi="Aptos" w:eastAsia="Microsoft YaHei"/>
          <w:color w:val="1F1F1F"/>
          <w:sz w:val="20"/>
        </w:rPr>
        <w:t>服务端事件记录签名密钥版本和来源系统，便于密钥轮换和审计。</w:t>
      </w:r>
    </w:p>
    <w:p>
      <w:pPr>
        <w:pStyle w:val="ListBullet"/>
        <w:keepNext w:val="0"/>
        <w:keepLines/>
        <w:spacing w:before="0" w:after="60" w:line="312" w:lineRule="auto"/>
        <w:ind w:left="425" w:hanging="198"/>
      </w:pPr>
      <w:r>
        <w:rPr>
          <w:rFonts w:ascii="Aptos" w:hAnsi="Aptos" w:eastAsia="Microsoft YaHei"/>
          <w:color w:val="1F1F1F"/>
          <w:sz w:val="20"/>
        </w:rPr>
        <w:t>采集 API 返回最小响应，不向匿名调用方泄露内部客户或配置数据。</w:t>
      </w:r>
    </w:p>
    <w:p>
      <w:pPr>
        <w:pStyle w:val="Heading1"/>
        <w:keepNext/>
        <w:keepLines/>
      </w:pPr>
      <w:r>
        <w:rPr>
          <w:rFonts w:ascii="Aptos Display" w:hAnsi="Aptos Display" w:eastAsia="Microsoft YaHei"/>
          <w:color w:val="000000"/>
        </w:rPr>
        <w:t>7 数据库和容量设计</w:t>
      </w:r>
    </w:p>
    <w:p>
      <w:pPr>
        <w:pStyle w:val="Heading2"/>
        <w:keepNext/>
        <w:keepLines/>
      </w:pPr>
      <w:r>
        <w:rPr>
          <w:rFonts w:ascii="Aptos Display" w:hAnsi="Aptos Display" w:eastAsia="Microsoft YaHei"/>
          <w:color w:val="000000"/>
        </w:rPr>
        <w:t>7 1 核心数据表</w:t>
      </w:r>
    </w:p>
    <w:tbl>
      <w:tblPr>
        <w:tblW w:type="auto" w:w="0"/>
        <w:jc w:val="center"/>
        <w:tblLayout w:type="fixed"/>
        <w:tblLook w:firstColumn="1" w:firstRow="1" w:lastColumn="0" w:lastRow="0" w:noHBand="0" w:noVBand="1" w:val="04A0"/>
      </w:tblPr>
      <w:tblGrid>
        <w:gridCol w:w="3081"/>
        <w:gridCol w:w="3081"/>
        <w:gridCol w:w="3081"/>
      </w:tblGrid>
      <w:tr>
        <w:trPr>
          <w:tblHeader w:val="true"/>
          <w:cantSplit w:val="true"/>
        </w:trPr>
        <w:tc>
          <w:tcPr>
            <w:tcW w:type="dxa" w:w="2268"/>
            <w:shd w:fill="17365D"/>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76" w:lineRule="auto"/>
              <w:jc w:val="center"/>
            </w:pPr>
            <w:r/>
            <w:r>
              <w:rPr>
                <w:rFonts w:ascii="Aptos" w:hAnsi="Aptos" w:eastAsia="Microsoft YaHei"/>
                <w:b/>
                <w:color w:val="FFFFFF"/>
                <w:sz w:val="18"/>
              </w:rPr>
              <w:t>数据表</w:t>
            </w:r>
          </w:p>
        </w:tc>
        <w:tc>
          <w:tcPr>
            <w:tcW w:type="dxa" w:w="3628"/>
            <w:shd w:fill="17365D"/>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76" w:lineRule="auto"/>
              <w:jc w:val="center"/>
            </w:pPr>
            <w:r/>
            <w:r>
              <w:rPr>
                <w:rFonts w:ascii="Aptos" w:hAnsi="Aptos" w:eastAsia="Microsoft YaHei"/>
                <w:b/>
                <w:color w:val="FFFFFF"/>
                <w:sz w:val="18"/>
              </w:rPr>
              <w:t>主要内容</w:t>
            </w:r>
          </w:p>
        </w:tc>
        <w:tc>
          <w:tcPr>
            <w:tcW w:type="dxa" w:w="3005"/>
            <w:shd w:fill="17365D"/>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76" w:lineRule="auto"/>
              <w:jc w:val="center"/>
            </w:pPr>
            <w:r/>
            <w:r>
              <w:rPr>
                <w:rFonts w:ascii="Aptos" w:hAnsi="Aptos" w:eastAsia="Microsoft YaHei"/>
                <w:b/>
                <w:color w:val="FFFFFF"/>
                <w:sz w:val="18"/>
              </w:rPr>
              <w:t>关键索引</w:t>
            </w:r>
          </w:p>
        </w:tc>
      </w:tr>
      <w:tr>
        <w:trPr>
          <w:cantSplit w:val="true"/>
        </w:trPr>
        <w:tc>
          <w:tcPr>
            <w:tcW w:type="dxa" w:w="2268"/>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organizations</w:t>
            </w:r>
          </w:p>
        </w:tc>
        <w:tc>
          <w:tcPr>
            <w:tcW w:type="dxa" w:w="3628"/>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组织 配置 状态</w:t>
            </w:r>
          </w:p>
        </w:tc>
        <w:tc>
          <w:tcPr>
            <w:tcW w:type="dxa" w:w="3005"/>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id status</w:t>
            </w:r>
          </w:p>
        </w:tc>
      </w:tr>
      <w:tr>
        <w:trPr>
          <w:cantSplit w:val="true"/>
        </w:trPr>
        <w:tc>
          <w:tcPr>
            <w:tcW w:type="dxa" w:w="2268"/>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organization_users</w:t>
            </w:r>
          </w:p>
        </w:tc>
        <w:tc>
          <w:tcPr>
            <w:tcW w:type="dxa" w:w="3628"/>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成员 角色 权限</w:t>
            </w:r>
          </w:p>
        </w:tc>
        <w:tc>
          <w:tcPr>
            <w:tcW w:type="dxa" w:w="3005"/>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organization_id user_id</w:t>
            </w:r>
          </w:p>
        </w:tc>
      </w:tr>
      <w:tr>
        <w:trPr>
          <w:cantSplit w:val="true"/>
        </w:trPr>
        <w:tc>
          <w:tcPr>
            <w:tcW w:type="dxa" w:w="2268"/>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sites</w:t>
            </w:r>
          </w:p>
        </w:tc>
        <w:tc>
          <w:tcPr>
            <w:tcW w:type="dxa" w:w="3628"/>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网站 域名 时区 数据策略</w:t>
            </w:r>
          </w:p>
        </w:tc>
        <w:tc>
          <w:tcPr>
            <w:tcW w:type="dxa" w:w="3005"/>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organization_id domain</w:t>
            </w:r>
          </w:p>
        </w:tc>
      </w:tr>
      <w:tr>
        <w:trPr>
          <w:cantSplit w:val="true"/>
        </w:trPr>
        <w:tc>
          <w:tcPr>
            <w:tcW w:type="dxa" w:w="2268"/>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site_keys</w:t>
            </w:r>
          </w:p>
        </w:tc>
        <w:tc>
          <w:tcPr>
            <w:tcW w:type="dxa" w:w="3628"/>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公开键 服务端密钥版本</w:t>
            </w:r>
          </w:p>
        </w:tc>
        <w:tc>
          <w:tcPr>
            <w:tcW w:type="dxa" w:w="3005"/>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site_id status</w:t>
            </w:r>
          </w:p>
        </w:tc>
      </w:tr>
      <w:tr>
        <w:trPr>
          <w:cantSplit w:val="true"/>
        </w:trPr>
        <w:tc>
          <w:tcPr>
            <w:tcW w:type="dxa" w:w="2268"/>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visitors</w:t>
            </w:r>
          </w:p>
        </w:tc>
        <w:tc>
          <w:tcPr>
            <w:tcW w:type="dxa" w:w="3628"/>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匿名访客 首次和最近访问</w:t>
            </w:r>
          </w:p>
        </w:tc>
        <w:tc>
          <w:tcPr>
            <w:tcW w:type="dxa" w:w="3005"/>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site_id anonymous_id</w:t>
            </w:r>
          </w:p>
        </w:tc>
      </w:tr>
      <w:tr>
        <w:trPr>
          <w:cantSplit w:val="true"/>
        </w:trPr>
        <w:tc>
          <w:tcPr>
            <w:tcW w:type="dxa" w:w="2268"/>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contacts</w:t>
            </w:r>
          </w:p>
        </w:tc>
        <w:tc>
          <w:tcPr>
            <w:tcW w:type="dxa" w:w="3628"/>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统一客户档案和聚合指标</w:t>
            </w:r>
          </w:p>
        </w:tc>
        <w:tc>
          <w:tcPr>
            <w:tcW w:type="dxa" w:w="3005"/>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organization_id last_seen_at</w:t>
            </w:r>
          </w:p>
        </w:tc>
      </w:tr>
      <w:tr>
        <w:trPr>
          <w:cantSplit w:val="true"/>
        </w:trPr>
        <w:tc>
          <w:tcPr>
            <w:tcW w:type="dxa" w:w="2268"/>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contact_identities</w:t>
            </w:r>
          </w:p>
        </w:tc>
        <w:tc>
          <w:tcPr>
            <w:tcW w:type="dxa" w:w="3628"/>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邮箱 手机 外部用户 ID</w:t>
            </w:r>
          </w:p>
        </w:tc>
        <w:tc>
          <w:tcPr>
            <w:tcW w:type="dxa" w:w="3005"/>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organization_id type value_hash</w:t>
            </w:r>
          </w:p>
        </w:tc>
      </w:tr>
      <w:tr>
        <w:trPr>
          <w:cantSplit w:val="true"/>
        </w:trPr>
        <w:tc>
          <w:tcPr>
            <w:tcW w:type="dxa" w:w="2268"/>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identity_links</w:t>
            </w:r>
          </w:p>
        </w:tc>
        <w:tc>
          <w:tcPr>
            <w:tcW w:type="dxa" w:w="3628"/>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访客与客户的可审计关系</w:t>
            </w:r>
          </w:p>
        </w:tc>
        <w:tc>
          <w:tcPr>
            <w:tcW w:type="dxa" w:w="3005"/>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visitor_id contact_id</w:t>
            </w:r>
          </w:p>
        </w:tc>
      </w:tr>
      <w:tr>
        <w:trPr>
          <w:cantSplit w:val="true"/>
        </w:trPr>
        <w:tc>
          <w:tcPr>
            <w:tcW w:type="dxa" w:w="2268"/>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sessions</w:t>
            </w:r>
          </w:p>
        </w:tc>
        <w:tc>
          <w:tcPr>
            <w:tcW w:type="dxa" w:w="3628"/>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会话 来源 落地页 活跃时间</w:t>
            </w:r>
          </w:p>
        </w:tc>
        <w:tc>
          <w:tcPr>
            <w:tcW w:type="dxa" w:w="3005"/>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site_id visitor_id started_at</w:t>
            </w:r>
          </w:p>
        </w:tc>
      </w:tr>
      <w:tr>
        <w:trPr>
          <w:cantSplit w:val="true"/>
        </w:trPr>
        <w:tc>
          <w:tcPr>
            <w:tcW w:type="dxa" w:w="2268"/>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events</w:t>
            </w:r>
          </w:p>
        </w:tc>
        <w:tc>
          <w:tcPr>
            <w:tcW w:type="dxa" w:w="3628"/>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原始事件和结构化属性</w:t>
            </w:r>
          </w:p>
        </w:tc>
        <w:tc>
          <w:tcPr>
            <w:tcW w:type="dxa" w:w="3005"/>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site_id occurred_at event_type</w:t>
            </w:r>
          </w:p>
        </w:tc>
      </w:tr>
      <w:tr>
        <w:trPr>
          <w:cantSplit w:val="true"/>
        </w:trPr>
        <w:tc>
          <w:tcPr>
            <w:tcW w:type="dxa" w:w="2268"/>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consent_records</w:t>
            </w:r>
          </w:p>
        </w:tc>
        <w:tc>
          <w:tcPr>
            <w:tcW w:type="dxa" w:w="3628"/>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同意状态 版本和变化时间</w:t>
            </w:r>
          </w:p>
        </w:tc>
        <w:tc>
          <w:tcPr>
            <w:tcW w:type="dxa" w:w="3005"/>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site_id visitor_id changed_at</w:t>
            </w:r>
          </w:p>
        </w:tc>
      </w:tr>
      <w:tr>
        <w:trPr>
          <w:cantSplit w:val="true"/>
        </w:trPr>
        <w:tc>
          <w:tcPr>
            <w:tcW w:type="dxa" w:w="2268"/>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audit_logs</w:t>
            </w:r>
          </w:p>
        </w:tc>
        <w:tc>
          <w:tcPr>
            <w:tcW w:type="dxa" w:w="3628"/>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管理和敏感操作审计</w:t>
            </w:r>
          </w:p>
        </w:tc>
        <w:tc>
          <w:tcPr>
            <w:tcW w:type="dxa" w:w="3005"/>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organization_id actor_id created_at</w:t>
            </w:r>
          </w:p>
        </w:tc>
      </w:tr>
    </w:tbl>
    <w:p>
      <w:pPr>
        <w:spacing w:before="0" w:after="40" w:line="240" w:lineRule="auto"/>
      </w:pPr>
    </w:p>
    <w:p>
      <w:pPr>
        <w:pStyle w:val="Heading2"/>
        <w:keepNext/>
        <w:keepLines/>
      </w:pPr>
      <w:r>
        <w:rPr>
          <w:rFonts w:ascii="Aptos Display" w:hAnsi="Aptos Display" w:eastAsia="Microsoft YaHei"/>
          <w:color w:val="000000"/>
        </w:rPr>
        <w:t>7 2 事件表原则</w:t>
      </w:r>
    </w:p>
    <w:p>
      <w:pPr>
        <w:spacing w:before="0" w:after="120" w:line="341" w:lineRule="auto"/>
        <w:ind w:firstLine="420"/>
      </w:pPr>
      <w:r>
        <w:rPr>
          <w:rFonts w:ascii="Aptos" w:hAnsi="Aptos" w:eastAsia="Microsoft YaHei"/>
          <w:color w:val="1F1F1F"/>
          <w:sz w:val="21"/>
        </w:rPr>
        <w:t>events 表应保留 event_id、organization_id、site_id、visitor_id、contact_id、session_id、event_type、occurred_at、received_at、page_path 和 properties。高频筛选字段使用独立列，扩展属性使用 JSONB。表按 occurred_at 做时间分区，并在删除策略中直接按分区清理，避免大规模逐行删除。</w:t>
      </w:r>
    </w:p>
    <w:p>
      <w:pPr>
        <w:spacing w:before="0" w:after="120" w:line="341" w:lineRule="auto"/>
        <w:ind w:firstLine="420"/>
      </w:pPr>
      <w:r>
        <w:rPr>
          <w:rFonts w:ascii="Aptos" w:hAnsi="Aptos" w:eastAsia="Microsoft YaHei"/>
          <w:color w:val="1F1F1F"/>
          <w:sz w:val="21"/>
        </w:rPr>
        <w:t>个人身份字段与行为事件分表。邮箱和手机号保存规范化密文，同时保存带组织级盐的匹配哈希。应用日志不记录完整身份、令牌和事件正文。备份、导出和分析副本必须执行相同的访问和保留策略。</w:t>
      </w:r>
    </w:p>
    <w:p>
      <w:pPr>
        <w:pStyle w:val="Heading2"/>
        <w:keepNext/>
        <w:keepLines/>
      </w:pPr>
      <w:r>
        <w:rPr>
          <w:rFonts w:ascii="Aptos Display" w:hAnsi="Aptos Display" w:eastAsia="Microsoft YaHei"/>
          <w:color w:val="000000"/>
        </w:rPr>
        <w:t>7 3 容量估算方法</w:t>
      </w:r>
    </w:p>
    <w:p>
      <w:pPr>
        <w:keepNext w:val="0"/>
        <w:keepLines/>
        <w:spacing w:before="0" w:after="60" w:line="276" w:lineRule="auto"/>
        <w:ind w:left="482" w:right="255"/>
      </w:pPr>
      <w:r>
        <w:rPr>
          <w:rFonts w:ascii="Consolas" w:hAnsi="Consolas" w:eastAsia="Microsoft YaHei"/>
          <w:color w:val="1F1F1F"/>
          <w:sz w:val="17"/>
        </w:rPr>
        <w:t>每日事件量 = 每日活跃访客 × 人均会话数 × 每会话事件数</w:t>
        <w:br/>
        <w:t>月事件量   = 每日事件量 × 30</w:t>
        <w:br/>
        <w:t>存储预算   = 月事件量 × 单事件实际占用 × 副本和索引系数</w:t>
      </w:r>
    </w:p>
    <w:p>
      <w:pPr>
        <w:spacing w:before="0" w:after="120" w:line="341" w:lineRule="auto"/>
        <w:ind w:firstLine="420"/>
      </w:pPr>
      <w:r>
        <w:rPr>
          <w:rFonts w:ascii="Aptos" w:hAnsi="Aptos" w:eastAsia="Microsoft YaHei"/>
          <w:color w:val="1F1F1F"/>
          <w:sz w:val="21"/>
        </w:rPr>
        <w:t>单事件实际占用必须用生产近似数据压测，不能只按 JSON 文本大小估算，因为索引、行开销、WAL、备份和副本都会增加容量。规划阶段可以将每月 100 万事件以内视为 PostgreSQL 单库验证区间；超过后先采用分区、批量写入和读写优化。当月事件达到数千万或分析查询明显影响写入时，再基于基准测试评估 ClickHouse。上述数量只作为架构检查点，不是固定迁移门槛。</w:t>
      </w:r>
    </w:p>
    <w:p>
      <w:pPr>
        <w:pStyle w:val="Heading1"/>
        <w:keepNext/>
        <w:keepLines/>
      </w:pPr>
      <w:r>
        <w:rPr>
          <w:rFonts w:ascii="Aptos Display" w:hAnsi="Aptos Display" w:eastAsia="Microsoft YaHei"/>
          <w:color w:val="000000"/>
        </w:rPr>
        <w:t>8 独立管理后台</w:t>
      </w:r>
    </w:p>
    <w:p>
      <w:pPr>
        <w:pStyle w:val="Heading2"/>
        <w:keepNext/>
        <w:keepLines/>
      </w:pPr>
      <w:r>
        <w:rPr>
          <w:rFonts w:ascii="Aptos Display" w:hAnsi="Aptos Display" w:eastAsia="Microsoft YaHei"/>
          <w:color w:val="000000"/>
        </w:rPr>
        <w:t>8 1 功能模块</w:t>
      </w:r>
    </w:p>
    <w:tbl>
      <w:tblPr>
        <w:tblW w:type="auto" w:w="0"/>
        <w:jc w:val="center"/>
        <w:tblLayout w:type="fixed"/>
        <w:tblLook w:firstColumn="1" w:firstRow="1" w:lastColumn="0" w:lastRow="0" w:noHBand="0" w:noVBand="1" w:val="04A0"/>
      </w:tblPr>
      <w:tblGrid>
        <w:gridCol w:w="3081"/>
        <w:gridCol w:w="3081"/>
        <w:gridCol w:w="3081"/>
      </w:tblGrid>
      <w:tr>
        <w:trPr>
          <w:tblHeader w:val="true"/>
          <w:cantSplit w:val="true"/>
        </w:trPr>
        <w:tc>
          <w:tcPr>
            <w:tcW w:type="dxa" w:w="1531"/>
            <w:shd w:fill="17365D"/>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76" w:lineRule="auto"/>
              <w:jc w:val="center"/>
            </w:pPr>
            <w:r/>
            <w:r>
              <w:rPr>
                <w:rFonts w:ascii="Aptos" w:hAnsi="Aptos" w:eastAsia="Microsoft YaHei"/>
                <w:b/>
                <w:color w:val="FFFFFF"/>
                <w:sz w:val="18"/>
              </w:rPr>
              <w:t>模块</w:t>
            </w:r>
          </w:p>
        </w:tc>
        <w:tc>
          <w:tcPr>
            <w:tcW w:type="dxa" w:w="4762"/>
            <w:shd w:fill="17365D"/>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76" w:lineRule="auto"/>
              <w:jc w:val="center"/>
            </w:pPr>
            <w:r/>
            <w:r>
              <w:rPr>
                <w:rFonts w:ascii="Aptos" w:hAnsi="Aptos" w:eastAsia="Microsoft YaHei"/>
                <w:b/>
                <w:color w:val="FFFFFF"/>
                <w:sz w:val="18"/>
              </w:rPr>
              <w:t>第一阶段能力</w:t>
            </w:r>
          </w:p>
        </w:tc>
        <w:tc>
          <w:tcPr>
            <w:tcW w:type="dxa" w:w="2608"/>
            <w:shd w:fill="17365D"/>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76" w:lineRule="auto"/>
              <w:jc w:val="center"/>
            </w:pPr>
            <w:r/>
            <w:r>
              <w:rPr>
                <w:rFonts w:ascii="Aptos" w:hAnsi="Aptos" w:eastAsia="Microsoft YaHei"/>
                <w:b/>
                <w:color w:val="FFFFFF"/>
                <w:sz w:val="18"/>
              </w:rPr>
              <w:t>主要用户</w:t>
            </w:r>
          </w:p>
        </w:tc>
      </w:tr>
      <w:tr>
        <w:trPr>
          <w:cantSplit w:val="true"/>
        </w:trPr>
        <w:tc>
          <w:tcPr>
            <w:tcW w:type="dxa" w:w="1531"/>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总览</w:t>
            </w:r>
          </w:p>
        </w:tc>
        <w:tc>
          <w:tcPr>
            <w:tcW w:type="dxa" w:w="4762"/>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访客 回访 客户 会话 来源 转化 趋势</w:t>
            </w:r>
          </w:p>
        </w:tc>
        <w:tc>
          <w:tcPr>
            <w:tcW w:type="dxa" w:w="2608"/>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管理者 运营</w:t>
            </w:r>
          </w:p>
        </w:tc>
      </w:tr>
      <w:tr>
        <w:trPr>
          <w:cantSplit w:val="true"/>
        </w:trPr>
        <w:tc>
          <w:tcPr>
            <w:tcW w:type="dxa" w:w="1531"/>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客户</w:t>
            </w:r>
          </w:p>
        </w:tc>
        <w:tc>
          <w:tcPr>
            <w:tcW w:type="dxa" w:w="4762"/>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搜索 筛选 标签 备注 聚合指标</w:t>
            </w:r>
          </w:p>
        </w:tc>
        <w:tc>
          <w:tcPr>
            <w:tcW w:type="dxa" w:w="2608"/>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销售 运营</w:t>
            </w:r>
          </w:p>
        </w:tc>
      </w:tr>
      <w:tr>
        <w:trPr>
          <w:cantSplit w:val="true"/>
        </w:trPr>
        <w:tc>
          <w:tcPr>
            <w:tcW w:type="dxa" w:w="1531"/>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客户详情</w:t>
            </w:r>
          </w:p>
        </w:tc>
        <w:tc>
          <w:tcPr>
            <w:tcW w:type="dxa" w:w="4762"/>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身份 会话 页面 事件和完整时间线</w:t>
            </w:r>
          </w:p>
        </w:tc>
        <w:tc>
          <w:tcPr>
            <w:tcW w:type="dxa" w:w="2608"/>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销售 客服</w:t>
            </w:r>
          </w:p>
        </w:tc>
      </w:tr>
      <w:tr>
        <w:trPr>
          <w:cantSplit w:val="true"/>
        </w:trPr>
        <w:tc>
          <w:tcPr>
            <w:tcW w:type="dxa" w:w="1531"/>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会话</w:t>
            </w:r>
          </w:p>
        </w:tc>
        <w:tc>
          <w:tcPr>
            <w:tcW w:type="dxa" w:w="4762"/>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落地页 退出页 页面顺序 有效停留</w:t>
            </w:r>
          </w:p>
        </w:tc>
        <w:tc>
          <w:tcPr>
            <w:tcW w:type="dxa" w:w="2608"/>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产品 运营</w:t>
            </w:r>
          </w:p>
        </w:tc>
      </w:tr>
      <w:tr>
        <w:trPr>
          <w:cantSplit w:val="true"/>
        </w:trPr>
        <w:tc>
          <w:tcPr>
            <w:tcW w:type="dxa" w:w="1531"/>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事件</w:t>
            </w:r>
          </w:p>
        </w:tc>
        <w:tc>
          <w:tcPr>
            <w:tcW w:type="dxa" w:w="4762"/>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事件目录 属性定义 数据质量</w:t>
            </w:r>
          </w:p>
        </w:tc>
        <w:tc>
          <w:tcPr>
            <w:tcW w:type="dxa" w:w="2608"/>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产品 开发</w:t>
            </w:r>
          </w:p>
        </w:tc>
      </w:tr>
      <w:tr>
        <w:trPr>
          <w:cantSplit w:val="true"/>
        </w:trPr>
        <w:tc>
          <w:tcPr>
            <w:tcW w:type="dxa" w:w="1531"/>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网站设置</w:t>
            </w:r>
          </w:p>
        </w:tc>
        <w:tc>
          <w:tcPr>
            <w:tcW w:type="dxa" w:w="4762"/>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域名 SDK 配置 过滤规则 密钥</w:t>
            </w:r>
          </w:p>
        </w:tc>
        <w:tc>
          <w:tcPr>
            <w:tcW w:type="dxa" w:w="2608"/>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管理员 开发</w:t>
            </w:r>
          </w:p>
        </w:tc>
      </w:tr>
      <w:tr>
        <w:trPr>
          <w:cantSplit w:val="true"/>
        </w:trPr>
        <w:tc>
          <w:tcPr>
            <w:tcW w:type="dxa" w:w="1531"/>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隐私</w:t>
            </w:r>
          </w:p>
        </w:tc>
        <w:tc>
          <w:tcPr>
            <w:tcW w:type="dxa" w:w="4762"/>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同意记录 保留 导出 删除</w:t>
            </w:r>
          </w:p>
        </w:tc>
        <w:tc>
          <w:tcPr>
            <w:tcW w:type="dxa" w:w="2608"/>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管理员 合规</w:t>
            </w:r>
          </w:p>
        </w:tc>
      </w:tr>
      <w:tr>
        <w:trPr>
          <w:cantSplit w:val="true"/>
        </w:trPr>
        <w:tc>
          <w:tcPr>
            <w:tcW w:type="dxa" w:w="1531"/>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审计运维</w:t>
            </w:r>
          </w:p>
        </w:tc>
        <w:tc>
          <w:tcPr>
            <w:tcW w:type="dxa" w:w="4762"/>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登录 密钥 导出 删除和系统状态</w:t>
            </w:r>
          </w:p>
        </w:tc>
        <w:tc>
          <w:tcPr>
            <w:tcW w:type="dxa" w:w="2608"/>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管理员 运维</w:t>
            </w:r>
          </w:p>
        </w:tc>
      </w:tr>
    </w:tbl>
    <w:p>
      <w:pPr>
        <w:spacing w:before="0" w:after="40" w:line="240" w:lineRule="auto"/>
      </w:pPr>
    </w:p>
    <w:p>
      <w:pPr>
        <w:pStyle w:val="Heading2"/>
        <w:keepNext/>
        <w:keepLines/>
      </w:pPr>
      <w:r>
        <w:rPr>
          <w:rFonts w:ascii="Aptos Display" w:hAnsi="Aptos Display" w:eastAsia="Microsoft YaHei"/>
          <w:color w:val="000000"/>
        </w:rPr>
        <w:t>8 2 客户时间线</w:t>
      </w:r>
    </w:p>
    <w:p>
      <w:pPr>
        <w:keepNext w:val="0"/>
        <w:keepLines/>
        <w:spacing w:before="0" w:after="60" w:line="276" w:lineRule="auto"/>
        <w:ind w:left="482" w:right="255"/>
      </w:pPr>
      <w:r>
        <w:rPr>
          <w:rFonts w:ascii="Consolas" w:hAnsi="Consolas" w:eastAsia="Microsoft YaHei"/>
          <w:color w:val="1F1F1F"/>
          <w:sz w:val="17"/>
        </w:rPr>
        <w:t>09 01 10:20  首次访问产品 A 页面  来源 Google Ads</w:t>
        <w:br/>
        <w:t>09 01 10:24  查看价格页  有效停留 2 分 18 秒</w:t>
        <w:br/>
        <w:t>09 02 16:10  再次访问案例页面</w:t>
        <w:br/>
        <w:t>09 02 16:15  询盘提交成功  身份识别为 customer@example.com</w:t>
        <w:br/>
        <w:t>09 05 09:30  登录  关联外部用户 user_123</w:t>
        <w:br/>
        <w:t>09 05 09:41  支付成功  订单 order_1001</w:t>
      </w:r>
    </w:p>
    <w:p>
      <w:pPr>
        <w:pStyle w:val="Heading2"/>
        <w:keepNext/>
        <w:keepLines/>
      </w:pPr>
      <w:r>
        <w:rPr>
          <w:rFonts w:ascii="Aptos Display" w:hAnsi="Aptos Display" w:eastAsia="Microsoft YaHei"/>
          <w:color w:val="000000"/>
        </w:rPr>
        <w:t>8 3 角色权限</w:t>
      </w:r>
    </w:p>
    <w:tbl>
      <w:tblPr>
        <w:tblW w:type="auto" w:w="0"/>
        <w:jc w:val="center"/>
        <w:tblLayout w:type="fixed"/>
        <w:tblLook w:firstColumn="1" w:firstRow="1" w:lastColumn="0" w:lastRow="0" w:noHBand="0" w:noVBand="1" w:val="04A0"/>
      </w:tblPr>
      <w:tblGrid>
        <w:gridCol w:w="3081"/>
        <w:gridCol w:w="3081"/>
        <w:gridCol w:w="3081"/>
      </w:tblGrid>
      <w:tr>
        <w:trPr>
          <w:tblHeader w:val="true"/>
          <w:cantSplit w:val="true"/>
        </w:trPr>
        <w:tc>
          <w:tcPr>
            <w:tcW w:type="dxa" w:w="1587"/>
            <w:shd w:fill="17365D"/>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76" w:lineRule="auto"/>
              <w:jc w:val="center"/>
            </w:pPr>
            <w:r/>
            <w:r>
              <w:rPr>
                <w:rFonts w:ascii="Aptos" w:hAnsi="Aptos" w:eastAsia="Microsoft YaHei"/>
                <w:b/>
                <w:color w:val="FFFFFF"/>
                <w:sz w:val="18"/>
              </w:rPr>
              <w:t>角色</w:t>
            </w:r>
          </w:p>
        </w:tc>
        <w:tc>
          <w:tcPr>
            <w:tcW w:type="dxa" w:w="4535"/>
            <w:shd w:fill="17365D"/>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76" w:lineRule="auto"/>
              <w:jc w:val="center"/>
            </w:pPr>
            <w:r/>
            <w:r>
              <w:rPr>
                <w:rFonts w:ascii="Aptos" w:hAnsi="Aptos" w:eastAsia="Microsoft YaHei"/>
                <w:b/>
                <w:color w:val="FFFFFF"/>
                <w:sz w:val="18"/>
              </w:rPr>
              <w:t>允许操作</w:t>
            </w:r>
          </w:p>
        </w:tc>
        <w:tc>
          <w:tcPr>
            <w:tcW w:type="dxa" w:w="2778"/>
            <w:shd w:fill="17365D"/>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76" w:lineRule="auto"/>
              <w:jc w:val="center"/>
            </w:pPr>
            <w:r/>
            <w:r>
              <w:rPr>
                <w:rFonts w:ascii="Aptos" w:hAnsi="Aptos" w:eastAsia="Microsoft YaHei"/>
                <w:b/>
                <w:color w:val="FFFFFF"/>
                <w:sz w:val="18"/>
              </w:rPr>
              <w:t>默认限制</w:t>
            </w:r>
          </w:p>
        </w:tc>
      </w:tr>
      <w:tr>
        <w:trPr>
          <w:cantSplit w:val="true"/>
        </w:trPr>
        <w:tc>
          <w:tcPr>
            <w:tcW w:type="dxa" w:w="1587"/>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组织所有者</w:t>
            </w:r>
          </w:p>
        </w:tc>
        <w:tc>
          <w:tcPr>
            <w:tcW w:type="dxa" w:w="4535"/>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组织 网站 成员 密钥 策略和全部数据</w:t>
            </w:r>
          </w:p>
        </w:tc>
        <w:tc>
          <w:tcPr>
            <w:tcW w:type="dxa" w:w="2778"/>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高风险操作需要再次确认</w:t>
            </w:r>
          </w:p>
        </w:tc>
      </w:tr>
      <w:tr>
        <w:trPr>
          <w:cantSplit w:val="true"/>
        </w:trPr>
        <w:tc>
          <w:tcPr>
            <w:tcW w:type="dxa" w:w="1587"/>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管理员</w:t>
            </w:r>
          </w:p>
        </w:tc>
        <w:tc>
          <w:tcPr>
            <w:tcW w:type="dxa" w:w="4535"/>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网站配置 客户 数据治理 导出和审计</w:t>
            </w:r>
          </w:p>
        </w:tc>
        <w:tc>
          <w:tcPr>
            <w:tcW w:type="dxa" w:w="2778"/>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不能转移组织所有权</w:t>
            </w:r>
          </w:p>
        </w:tc>
      </w:tr>
      <w:tr>
        <w:trPr>
          <w:cantSplit w:val="true"/>
        </w:trPr>
        <w:tc>
          <w:tcPr>
            <w:tcW w:type="dxa" w:w="1587"/>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运营</w:t>
            </w:r>
          </w:p>
        </w:tc>
        <w:tc>
          <w:tcPr>
            <w:tcW w:type="dxa" w:w="4535"/>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查看分析 客户 标签和备注</w:t>
            </w:r>
          </w:p>
        </w:tc>
        <w:tc>
          <w:tcPr>
            <w:tcW w:type="dxa" w:w="2778"/>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不能查看密钥或执行全量删除</w:t>
            </w:r>
          </w:p>
        </w:tc>
      </w:tr>
      <w:tr>
        <w:trPr>
          <w:cantSplit w:val="true"/>
        </w:trPr>
        <w:tc>
          <w:tcPr>
            <w:tcW w:type="dxa" w:w="1587"/>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销售</w:t>
            </w:r>
          </w:p>
        </w:tc>
        <w:tc>
          <w:tcPr>
            <w:tcW w:type="dxa" w:w="4535"/>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查看授权范围客户和时间线</w:t>
            </w:r>
          </w:p>
        </w:tc>
        <w:tc>
          <w:tcPr>
            <w:tcW w:type="dxa" w:w="2778"/>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不能导出全量数据</w:t>
            </w:r>
          </w:p>
        </w:tc>
      </w:tr>
      <w:tr>
        <w:trPr>
          <w:cantSplit w:val="true"/>
        </w:trPr>
        <w:tc>
          <w:tcPr>
            <w:tcW w:type="dxa" w:w="1587"/>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分析只读</w:t>
            </w:r>
          </w:p>
        </w:tc>
        <w:tc>
          <w:tcPr>
            <w:tcW w:type="dxa" w:w="4535"/>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查看聚合分析和脱敏结果</w:t>
            </w:r>
          </w:p>
        </w:tc>
        <w:tc>
          <w:tcPr>
            <w:tcW w:type="dxa" w:w="2778"/>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默认不显示联系方式</w:t>
            </w:r>
          </w:p>
        </w:tc>
      </w:tr>
    </w:tbl>
    <w:p>
      <w:pPr>
        <w:spacing w:before="0" w:after="40" w:line="240" w:lineRule="auto"/>
      </w:pPr>
    </w:p>
    <w:p>
      <w:pPr>
        <w:pStyle w:val="Heading1"/>
        <w:keepNext/>
        <w:keepLines/>
      </w:pPr>
      <w:r>
        <w:rPr>
          <w:rFonts w:ascii="Aptos Display" w:hAnsi="Aptos Display" w:eastAsia="Microsoft YaHei"/>
          <w:color w:val="000000"/>
        </w:rPr>
        <w:t>9 安全设计</w:t>
      </w:r>
    </w:p>
    <w:p>
      <w:pPr>
        <w:pStyle w:val="Heading2"/>
        <w:keepNext/>
        <w:keepLines/>
      </w:pPr>
      <w:r>
        <w:rPr>
          <w:rFonts w:ascii="Aptos Display" w:hAnsi="Aptos Display" w:eastAsia="Microsoft YaHei"/>
          <w:color w:val="000000"/>
        </w:rPr>
        <w:t>9 1 威胁重点</w:t>
      </w:r>
    </w:p>
    <w:p>
      <w:pPr>
        <w:spacing w:before="0" w:after="120" w:line="341" w:lineRule="auto"/>
        <w:ind w:firstLine="420"/>
      </w:pPr>
      <w:r>
        <w:rPr>
          <w:rFonts w:ascii="Aptos" w:hAnsi="Aptos" w:eastAsia="Microsoft YaHei"/>
          <w:color w:val="1F1F1F"/>
          <w:sz w:val="21"/>
        </w:rPr>
        <w:t>采集 API 是公开入口，任何人都能看到 Site ID 并模拟浏览器请求，因此系统要假设匿名事件可能被伪造。安全目标是限制污染范围、识别异常、保护后台数据，并确保已确认的业务事件只能由受信任服务器写入。API 设计需要重点防范对象级越权、认证失效、字段级过度暴露、资源消耗、敏感业务流滥用、配置错误和不安全的第三方 API 调用。</w:t>
      </w:r>
    </w:p>
    <w:p>
      <w:pPr>
        <w:pStyle w:val="Heading2"/>
        <w:keepNext/>
        <w:keepLines/>
      </w:pPr>
      <w:r>
        <w:rPr>
          <w:rFonts w:ascii="Aptos Display" w:hAnsi="Aptos Display" w:eastAsia="Microsoft YaHei"/>
          <w:color w:val="000000"/>
        </w:rPr>
        <w:t>9 2 控制措施</w:t>
      </w:r>
    </w:p>
    <w:tbl>
      <w:tblPr>
        <w:tblW w:type="auto" w:w="0"/>
        <w:jc w:val="center"/>
        <w:tblLayout w:type="fixed"/>
        <w:tblLook w:firstColumn="1" w:firstRow="1" w:lastColumn="0" w:lastRow="0" w:noHBand="0" w:noVBand="1" w:val="04A0"/>
      </w:tblPr>
      <w:tblGrid>
        <w:gridCol w:w="4621"/>
        <w:gridCol w:w="4621"/>
      </w:tblGrid>
      <w:tr>
        <w:trPr>
          <w:tblHeader w:val="true"/>
          <w:cantSplit w:val="true"/>
        </w:trPr>
        <w:tc>
          <w:tcPr>
            <w:tcW w:type="dxa" w:w="1814"/>
            <w:shd w:fill="17365D"/>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76" w:lineRule="auto"/>
              <w:jc w:val="center"/>
            </w:pPr>
            <w:r/>
            <w:r>
              <w:rPr>
                <w:rFonts w:ascii="Aptos" w:hAnsi="Aptos" w:eastAsia="Microsoft YaHei"/>
                <w:b/>
                <w:color w:val="FFFFFF"/>
                <w:sz w:val="18"/>
              </w:rPr>
              <w:t>控制域</w:t>
            </w:r>
          </w:p>
        </w:tc>
        <w:tc>
          <w:tcPr>
            <w:tcW w:type="dxa" w:w="7087"/>
            <w:shd w:fill="17365D"/>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76" w:lineRule="auto"/>
              <w:jc w:val="center"/>
            </w:pPr>
            <w:r/>
            <w:r>
              <w:rPr>
                <w:rFonts w:ascii="Aptos" w:hAnsi="Aptos" w:eastAsia="Microsoft YaHei"/>
                <w:b/>
                <w:color w:val="FFFFFF"/>
                <w:sz w:val="18"/>
              </w:rPr>
              <w:t>实施要求</w:t>
            </w:r>
          </w:p>
        </w:tc>
      </w:tr>
      <w:tr>
        <w:trPr>
          <w:cantSplit w:val="true"/>
        </w:trPr>
        <w:tc>
          <w:tcPr>
            <w:tcW w:type="dxa" w:w="1814"/>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传输</w:t>
            </w:r>
          </w:p>
        </w:tc>
        <w:tc>
          <w:tcPr>
            <w:tcW w:type="dxa" w:w="7087"/>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全站 HTTPS 强制现代 TLS HSTS 和安全响应头</w:t>
            </w:r>
          </w:p>
        </w:tc>
      </w:tr>
      <w:tr>
        <w:trPr>
          <w:cantSplit w:val="true"/>
        </w:trPr>
        <w:tc>
          <w:tcPr>
            <w:tcW w:type="dxa" w:w="1814"/>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浏览器入口</w:t>
            </w:r>
          </w:p>
        </w:tc>
        <w:tc>
          <w:tcPr>
            <w:tcW w:type="dxa" w:w="7087"/>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域名允许列表 请求大小限制 速率限制 Schema 校验和事件去重</w:t>
            </w:r>
          </w:p>
        </w:tc>
      </w:tr>
      <w:tr>
        <w:trPr>
          <w:cantSplit w:val="true"/>
        </w:trPr>
        <w:tc>
          <w:tcPr>
            <w:tcW w:type="dxa" w:w="1814"/>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服务端入口</w:t>
            </w:r>
          </w:p>
        </w:tc>
        <w:tc>
          <w:tcPr>
            <w:tcW w:type="dxa" w:w="7087"/>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HMAC 或私密令牌 时间戳 防重放 密钥版本与轮换</w:t>
            </w:r>
          </w:p>
        </w:tc>
      </w:tr>
      <w:tr>
        <w:trPr>
          <w:cantSplit w:val="true"/>
        </w:trPr>
        <w:tc>
          <w:tcPr>
            <w:tcW w:type="dxa" w:w="1814"/>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后台认证</w:t>
            </w:r>
          </w:p>
        </w:tc>
        <w:tc>
          <w:tcPr>
            <w:tcW w:type="dxa" w:w="7087"/>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安全会话 MFA 可选 强密码或企业单点登录扩展</w:t>
            </w:r>
          </w:p>
        </w:tc>
      </w:tr>
      <w:tr>
        <w:trPr>
          <w:cantSplit w:val="true"/>
        </w:trPr>
        <w:tc>
          <w:tcPr>
            <w:tcW w:type="dxa" w:w="1814"/>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授权</w:t>
            </w:r>
          </w:p>
        </w:tc>
        <w:tc>
          <w:tcPr>
            <w:tcW w:type="dxa" w:w="7087"/>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组织级对象授权 角色权限 字段脱敏 导出审批</w:t>
            </w:r>
          </w:p>
        </w:tc>
      </w:tr>
      <w:tr>
        <w:trPr>
          <w:cantSplit w:val="true"/>
        </w:trPr>
        <w:tc>
          <w:tcPr>
            <w:tcW w:type="dxa" w:w="1814"/>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数据</w:t>
            </w:r>
          </w:p>
        </w:tc>
        <w:tc>
          <w:tcPr>
            <w:tcW w:type="dxa" w:w="7087"/>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PII 应用层加密 密钥托管 备份加密 最小日志</w:t>
            </w:r>
          </w:p>
        </w:tc>
      </w:tr>
      <w:tr>
        <w:trPr>
          <w:cantSplit w:val="true"/>
        </w:trPr>
        <w:tc>
          <w:tcPr>
            <w:tcW w:type="dxa" w:w="1814"/>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应用</w:t>
            </w:r>
          </w:p>
        </w:tc>
        <w:tc>
          <w:tcPr>
            <w:tcW w:type="dxa" w:w="7087"/>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输入验证 输出编码 CSP CSRF 防护 依赖扫描</w:t>
            </w:r>
          </w:p>
        </w:tc>
      </w:tr>
      <w:tr>
        <w:trPr>
          <w:cantSplit w:val="true"/>
        </w:trPr>
        <w:tc>
          <w:tcPr>
            <w:tcW w:type="dxa" w:w="1814"/>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Webhook</w:t>
            </w:r>
          </w:p>
        </w:tc>
        <w:tc>
          <w:tcPr>
            <w:tcW w:type="dxa" w:w="7087"/>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目标地址允许策略 SSRF 防护 签名和失败重试上限</w:t>
            </w:r>
          </w:p>
        </w:tc>
      </w:tr>
      <w:tr>
        <w:trPr>
          <w:cantSplit w:val="true"/>
        </w:trPr>
        <w:tc>
          <w:tcPr>
            <w:tcW w:type="dxa" w:w="1814"/>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审计</w:t>
            </w:r>
          </w:p>
        </w:tc>
        <w:tc>
          <w:tcPr>
            <w:tcW w:type="dxa" w:w="7087"/>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记录登录 密钥 导出 删除 权限和身份合并变更</w:t>
            </w:r>
          </w:p>
        </w:tc>
      </w:tr>
    </w:tbl>
    <w:p>
      <w:pPr>
        <w:spacing w:before="0" w:after="40" w:line="240" w:lineRule="auto"/>
      </w:pPr>
    </w:p>
    <w:p>
      <w:pPr>
        <w:pStyle w:val="Heading2"/>
        <w:keepNext/>
        <w:keepLines/>
      </w:pPr>
      <w:r>
        <w:rPr>
          <w:rFonts w:ascii="Aptos Display" w:hAnsi="Aptos Display" w:eastAsia="Microsoft YaHei"/>
          <w:color w:val="000000"/>
        </w:rPr>
        <w:t>9 3 密钥模型</w:t>
      </w:r>
    </w:p>
    <w:tbl>
      <w:tblPr>
        <w:tblW w:type="auto" w:w="0"/>
        <w:jc w:val="center"/>
        <w:tblLayout w:type="fixed"/>
        <w:tblLook w:firstColumn="1" w:firstRow="1" w:lastColumn="0" w:lastRow="0" w:noHBand="0" w:noVBand="1" w:val="04A0"/>
      </w:tblPr>
      <w:tblGrid>
        <w:gridCol w:w="2310"/>
        <w:gridCol w:w="2310"/>
        <w:gridCol w:w="2310"/>
        <w:gridCol w:w="2310"/>
      </w:tblGrid>
      <w:tr>
        <w:trPr>
          <w:tblHeader w:val="true"/>
          <w:cantSplit w:val="true"/>
        </w:trPr>
        <w:tc>
          <w:tcPr>
            <w:tcW w:type="dxa" w:w="1701"/>
            <w:shd w:fill="17365D"/>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76" w:lineRule="auto"/>
              <w:jc w:val="center"/>
            </w:pPr>
            <w:r/>
            <w:r>
              <w:rPr>
                <w:rFonts w:ascii="Aptos" w:hAnsi="Aptos" w:eastAsia="Microsoft YaHei"/>
                <w:b/>
                <w:color w:val="FFFFFF"/>
                <w:sz w:val="18"/>
              </w:rPr>
              <w:t>凭证</w:t>
            </w:r>
          </w:p>
        </w:tc>
        <w:tc>
          <w:tcPr>
            <w:tcW w:type="dxa" w:w="2041"/>
            <w:shd w:fill="17365D"/>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76" w:lineRule="auto"/>
              <w:jc w:val="center"/>
            </w:pPr>
            <w:r/>
            <w:r>
              <w:rPr>
                <w:rFonts w:ascii="Aptos" w:hAnsi="Aptos" w:eastAsia="Microsoft YaHei"/>
                <w:b/>
                <w:color w:val="FFFFFF"/>
                <w:sz w:val="18"/>
              </w:rPr>
              <w:t>位置</w:t>
            </w:r>
          </w:p>
        </w:tc>
        <w:tc>
          <w:tcPr>
            <w:tcW w:type="dxa" w:w="1701"/>
            <w:shd w:fill="17365D"/>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76" w:lineRule="auto"/>
              <w:jc w:val="center"/>
            </w:pPr>
            <w:r/>
            <w:r>
              <w:rPr>
                <w:rFonts w:ascii="Aptos" w:hAnsi="Aptos" w:eastAsia="Microsoft YaHei"/>
                <w:b/>
                <w:color w:val="FFFFFF"/>
                <w:sz w:val="18"/>
              </w:rPr>
              <w:t>保密性</w:t>
            </w:r>
          </w:p>
        </w:tc>
        <w:tc>
          <w:tcPr>
            <w:tcW w:type="dxa" w:w="3458"/>
            <w:shd w:fill="17365D"/>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76" w:lineRule="auto"/>
              <w:jc w:val="center"/>
            </w:pPr>
            <w:r/>
            <w:r>
              <w:rPr>
                <w:rFonts w:ascii="Aptos" w:hAnsi="Aptos" w:eastAsia="Microsoft YaHei"/>
                <w:b/>
                <w:color w:val="FFFFFF"/>
                <w:sz w:val="18"/>
              </w:rPr>
              <w:t>权限</w:t>
            </w:r>
          </w:p>
        </w:tc>
      </w:tr>
      <w:tr>
        <w:trPr>
          <w:cantSplit w:val="true"/>
        </w:trPr>
        <w:tc>
          <w:tcPr>
            <w:tcW w:type="dxa" w:w="1701"/>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Site ID</w:t>
            </w:r>
          </w:p>
        </w:tc>
        <w:tc>
          <w:tcPr>
            <w:tcW w:type="dxa" w:w="2041"/>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浏览器</w:t>
            </w:r>
          </w:p>
        </w:tc>
        <w:tc>
          <w:tcPr>
            <w:tcW w:type="dxa" w:w="1701"/>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公开</w:t>
            </w:r>
          </w:p>
        </w:tc>
        <w:tc>
          <w:tcPr>
            <w:tcW w:type="dxa" w:w="3458"/>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标识网站，不能写入可信业务结果</w:t>
            </w:r>
          </w:p>
        </w:tc>
      </w:tr>
      <w:tr>
        <w:trPr>
          <w:cantSplit w:val="true"/>
        </w:trPr>
        <w:tc>
          <w:tcPr>
            <w:tcW w:type="dxa" w:w="1701"/>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Site Secret</w:t>
            </w:r>
          </w:p>
        </w:tc>
        <w:tc>
          <w:tcPr>
            <w:tcW w:type="dxa" w:w="2041"/>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网站服务器</w:t>
            </w:r>
          </w:p>
        </w:tc>
        <w:tc>
          <w:tcPr>
            <w:tcW w:type="dxa" w:w="1701"/>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严格保密</w:t>
            </w:r>
          </w:p>
        </w:tc>
        <w:tc>
          <w:tcPr>
            <w:tcW w:type="dxa" w:w="3458"/>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写入服务端业务事件和签发身份令牌</w:t>
            </w:r>
          </w:p>
        </w:tc>
      </w:tr>
      <w:tr>
        <w:trPr>
          <w:cantSplit w:val="true"/>
        </w:trPr>
        <w:tc>
          <w:tcPr>
            <w:tcW w:type="dxa" w:w="1701"/>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用户会话</w:t>
            </w:r>
          </w:p>
        </w:tc>
        <w:tc>
          <w:tcPr>
            <w:tcW w:type="dxa" w:w="2041"/>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管理后台</w:t>
            </w:r>
          </w:p>
        </w:tc>
        <w:tc>
          <w:tcPr>
            <w:tcW w:type="dxa" w:w="1701"/>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保密</w:t>
            </w:r>
          </w:p>
        </w:tc>
        <w:tc>
          <w:tcPr>
            <w:tcW w:type="dxa" w:w="3458"/>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按角色查询和管理数据</w:t>
            </w:r>
          </w:p>
        </w:tc>
      </w:tr>
      <w:tr>
        <w:trPr>
          <w:cantSplit w:val="true"/>
        </w:trPr>
        <w:tc>
          <w:tcPr>
            <w:tcW w:type="dxa" w:w="1701"/>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内部服务凭证</w:t>
            </w:r>
          </w:p>
        </w:tc>
        <w:tc>
          <w:tcPr>
            <w:tcW w:type="dxa" w:w="2041"/>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后台服务</w:t>
            </w:r>
          </w:p>
        </w:tc>
        <w:tc>
          <w:tcPr>
            <w:tcW w:type="dxa" w:w="1701"/>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严格保密</w:t>
            </w:r>
          </w:p>
        </w:tc>
        <w:tc>
          <w:tcPr>
            <w:tcW w:type="dxa" w:w="3458"/>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队列 数据库 对象存储和服务间调用</w:t>
            </w:r>
          </w:p>
        </w:tc>
      </w:tr>
    </w:tbl>
    <w:p>
      <w:pPr>
        <w:spacing w:before="0" w:after="40" w:line="240" w:lineRule="auto"/>
      </w:pPr>
    </w:p>
    <w:p>
      <w:r>
        <w:br w:type="page"/>
      </w:r>
    </w:p>
    <w:p>
      <w:pPr>
        <w:pStyle w:val="Heading1"/>
        <w:keepNext/>
        <w:keepLines/>
      </w:pPr>
      <w:r>
        <w:rPr>
          <w:rFonts w:ascii="Aptos Display" w:hAnsi="Aptos Display" w:eastAsia="Microsoft YaHei"/>
          <w:color w:val="000000"/>
        </w:rPr>
        <w:t>10 隐私和数据治理</w:t>
      </w:r>
    </w:p>
    <w:p>
      <w:pPr>
        <w:pStyle w:val="Heading2"/>
        <w:keepNext/>
        <w:keepLines/>
      </w:pPr>
      <w:r>
        <w:rPr>
          <w:rFonts w:ascii="Aptos Display" w:hAnsi="Aptos Display" w:eastAsia="Microsoft YaHei"/>
          <w:color w:val="000000"/>
        </w:rPr>
        <w:t>10 1 治理要求</w:t>
      </w:r>
    </w:p>
    <w:p>
      <w:pPr>
        <w:spacing w:before="0" w:after="120" w:line="341" w:lineRule="auto"/>
        <w:ind w:firstLine="420"/>
      </w:pPr>
      <w:r>
        <w:rPr>
          <w:rFonts w:ascii="Aptos" w:hAnsi="Aptos" w:eastAsia="Microsoft YaHei"/>
          <w:color w:val="1F1F1F"/>
          <w:sz w:val="21"/>
        </w:rPr>
        <w:t>行为轨迹、IP、设备标识和可识别客户资料均可能构成个人信息。项目上线前应明确处理目的、数据类别、保存期限、访问角色、共享对象和用户权利路径。若面向中国境内个人，应根据适用法律确认处理依据并履行告知义务；基于同意处理时，应支持记录、拒绝和撤回。若服务其他国家或地区，还需针对当地法规进行专项评审。</w:t>
      </w:r>
    </w:p>
    <w:tbl>
      <w:tblPr>
        <w:tblW w:type="auto" w:w="0"/>
        <w:jc w:val="center"/>
        <w:tblLayout w:type="fixed"/>
        <w:tblLook w:firstColumn="1" w:firstRow="1" w:lastColumn="0" w:lastRow="0" w:noHBand="0" w:noVBand="1" w:val="04A0"/>
      </w:tblPr>
      <w:tblGrid>
        <w:gridCol w:w="4621"/>
        <w:gridCol w:w="4621"/>
      </w:tblGrid>
      <w:tr>
        <w:trPr>
          <w:tblHeader w:val="true"/>
          <w:cantSplit w:val="true"/>
        </w:trPr>
        <w:tc>
          <w:tcPr>
            <w:tcW w:type="dxa" w:w="1701"/>
            <w:shd w:fill="17365D"/>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76" w:lineRule="auto"/>
              <w:jc w:val="center"/>
            </w:pPr>
            <w:r/>
            <w:r>
              <w:rPr>
                <w:rFonts w:ascii="Aptos" w:hAnsi="Aptos" w:eastAsia="Microsoft YaHei"/>
                <w:b/>
                <w:color w:val="FFFFFF"/>
                <w:sz w:val="18"/>
              </w:rPr>
              <w:t>能力</w:t>
            </w:r>
          </w:p>
        </w:tc>
        <w:tc>
          <w:tcPr>
            <w:tcW w:type="dxa" w:w="7200"/>
            <w:shd w:fill="17365D"/>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76" w:lineRule="auto"/>
              <w:jc w:val="center"/>
            </w:pPr>
            <w:r/>
            <w:r>
              <w:rPr>
                <w:rFonts w:ascii="Aptos" w:hAnsi="Aptos" w:eastAsia="Microsoft YaHei"/>
                <w:b/>
                <w:color w:val="FFFFFF"/>
                <w:sz w:val="18"/>
              </w:rPr>
              <w:t>系统实现</w:t>
            </w:r>
          </w:p>
        </w:tc>
      </w:tr>
      <w:tr>
        <w:trPr>
          <w:cantSplit w:val="true"/>
        </w:trPr>
        <w:tc>
          <w:tcPr>
            <w:tcW w:type="dxa" w:w="1701"/>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告知</w:t>
            </w:r>
          </w:p>
        </w:tc>
        <w:tc>
          <w:tcPr>
            <w:tcW w:type="dxa" w:w="7200"/>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记录隐私政策版本和展示时间，提供可配置的采集说明</w:t>
            </w:r>
          </w:p>
        </w:tc>
      </w:tr>
      <w:tr>
        <w:trPr>
          <w:cantSplit w:val="true"/>
        </w:trPr>
        <w:tc>
          <w:tcPr>
            <w:tcW w:type="dxa" w:w="1701"/>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同意</w:t>
            </w:r>
          </w:p>
        </w:tc>
        <w:tc>
          <w:tcPr>
            <w:tcW w:type="dxa" w:w="7200"/>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按必要 分析 营销等目的保存状态和变更记录</w:t>
            </w:r>
          </w:p>
        </w:tc>
      </w:tr>
      <w:tr>
        <w:trPr>
          <w:cantSplit w:val="true"/>
        </w:trPr>
        <w:tc>
          <w:tcPr>
            <w:tcW w:type="dxa" w:w="1701"/>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撤回</w:t>
            </w:r>
          </w:p>
        </w:tc>
        <w:tc>
          <w:tcPr>
            <w:tcW w:type="dxa" w:w="7200"/>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SDK 收到撤回后停止对应采集，并按策略删除或隔离标识</w:t>
            </w:r>
          </w:p>
        </w:tc>
      </w:tr>
      <w:tr>
        <w:trPr>
          <w:cantSplit w:val="true"/>
        </w:trPr>
        <w:tc>
          <w:tcPr>
            <w:tcW w:type="dxa" w:w="1701"/>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访问</w:t>
            </w:r>
          </w:p>
        </w:tc>
        <w:tc>
          <w:tcPr>
            <w:tcW w:type="dxa" w:w="7200"/>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按身份查询并生成个人数据导出</w:t>
            </w:r>
          </w:p>
        </w:tc>
      </w:tr>
      <w:tr>
        <w:trPr>
          <w:cantSplit w:val="true"/>
        </w:trPr>
        <w:tc>
          <w:tcPr>
            <w:tcW w:type="dxa" w:w="1701"/>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更正</w:t>
            </w:r>
          </w:p>
        </w:tc>
        <w:tc>
          <w:tcPr>
            <w:tcW w:type="dxa" w:w="7200"/>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允许修正客户身份资料并保留审计</w:t>
            </w:r>
          </w:p>
        </w:tc>
      </w:tr>
      <w:tr>
        <w:trPr>
          <w:cantSplit w:val="true"/>
        </w:trPr>
        <w:tc>
          <w:tcPr>
            <w:tcW w:type="dxa" w:w="1701"/>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删除</w:t>
            </w:r>
          </w:p>
        </w:tc>
        <w:tc>
          <w:tcPr>
            <w:tcW w:type="dxa" w:w="7200"/>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覆盖在线库 聚合数据 队列 缓存 导出和备份生命周期</w:t>
            </w:r>
          </w:p>
        </w:tc>
      </w:tr>
      <w:tr>
        <w:trPr>
          <w:cantSplit w:val="true"/>
        </w:trPr>
        <w:tc>
          <w:tcPr>
            <w:tcW w:type="dxa" w:w="1701"/>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保留</w:t>
            </w:r>
          </w:p>
        </w:tc>
        <w:tc>
          <w:tcPr>
            <w:tcW w:type="dxa" w:w="7200"/>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按组织 网站 数据类型设置期限并自动清理</w:t>
            </w:r>
          </w:p>
        </w:tc>
      </w:tr>
      <w:tr>
        <w:trPr>
          <w:cantSplit w:val="true"/>
        </w:trPr>
        <w:tc>
          <w:tcPr>
            <w:tcW w:type="dxa" w:w="1701"/>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共享</w:t>
            </w:r>
          </w:p>
        </w:tc>
        <w:tc>
          <w:tcPr>
            <w:tcW w:type="dxa" w:w="7200"/>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第三方处理者、跨境和 Webhook 在配置与文档中可追溯</w:t>
            </w:r>
          </w:p>
        </w:tc>
      </w:tr>
    </w:tbl>
    <w:p>
      <w:pPr>
        <w:spacing w:before="0" w:after="40" w:line="240" w:lineRule="auto"/>
      </w:pPr>
    </w:p>
    <w:p>
      <w:pPr>
        <w:pStyle w:val="Heading2"/>
        <w:keepNext/>
        <w:keepLines/>
      </w:pPr>
      <w:r>
        <w:rPr>
          <w:rFonts w:ascii="Aptos Display" w:hAnsi="Aptos Display" w:eastAsia="Microsoft YaHei"/>
          <w:color w:val="000000"/>
        </w:rPr>
        <w:t>10 2 数据保留建议</w:t>
      </w:r>
    </w:p>
    <w:tbl>
      <w:tblPr>
        <w:tblW w:type="auto" w:w="0"/>
        <w:jc w:val="center"/>
        <w:tblLayout w:type="fixed"/>
        <w:tblLook w:firstColumn="1" w:firstRow="1" w:lastColumn="0" w:lastRow="0" w:noHBand="0" w:noVBand="1" w:val="04A0"/>
      </w:tblPr>
      <w:tblGrid>
        <w:gridCol w:w="3081"/>
        <w:gridCol w:w="3081"/>
        <w:gridCol w:w="3081"/>
      </w:tblGrid>
      <w:tr>
        <w:trPr>
          <w:tblHeader w:val="true"/>
          <w:cantSplit w:val="true"/>
        </w:trPr>
        <w:tc>
          <w:tcPr>
            <w:tcW w:type="dxa" w:w="2154"/>
            <w:shd w:fill="17365D"/>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76" w:lineRule="auto"/>
              <w:jc w:val="center"/>
            </w:pPr>
            <w:r/>
            <w:r>
              <w:rPr>
                <w:rFonts w:ascii="Aptos" w:hAnsi="Aptos" w:eastAsia="Microsoft YaHei"/>
                <w:b/>
                <w:color w:val="FFFFFF"/>
                <w:sz w:val="18"/>
              </w:rPr>
              <w:t>数据类型</w:t>
            </w:r>
          </w:p>
        </w:tc>
        <w:tc>
          <w:tcPr>
            <w:tcW w:type="dxa" w:w="2835"/>
            <w:shd w:fill="17365D"/>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76" w:lineRule="auto"/>
              <w:jc w:val="center"/>
            </w:pPr>
            <w:r/>
            <w:r>
              <w:rPr>
                <w:rFonts w:ascii="Aptos" w:hAnsi="Aptos" w:eastAsia="Microsoft YaHei"/>
                <w:b/>
                <w:color w:val="FFFFFF"/>
                <w:sz w:val="18"/>
              </w:rPr>
              <w:t>建议初始期限</w:t>
            </w:r>
          </w:p>
        </w:tc>
        <w:tc>
          <w:tcPr>
            <w:tcW w:type="dxa" w:w="3912"/>
            <w:shd w:fill="17365D"/>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76" w:lineRule="auto"/>
              <w:jc w:val="center"/>
            </w:pPr>
            <w:r/>
            <w:r>
              <w:rPr>
                <w:rFonts w:ascii="Aptos" w:hAnsi="Aptos" w:eastAsia="Microsoft YaHei"/>
                <w:b/>
                <w:color w:val="FFFFFF"/>
                <w:sz w:val="18"/>
              </w:rPr>
              <w:t>到期处理</w:t>
            </w:r>
          </w:p>
        </w:tc>
      </w:tr>
      <w:tr>
        <w:trPr>
          <w:cantSplit w:val="true"/>
        </w:trPr>
        <w:tc>
          <w:tcPr>
            <w:tcW w:type="dxa" w:w="2154"/>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匿名原始事件</w:t>
            </w:r>
          </w:p>
        </w:tc>
        <w:tc>
          <w:tcPr>
            <w:tcW w:type="dxa" w:w="2835"/>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90 天</w:t>
            </w:r>
          </w:p>
        </w:tc>
        <w:tc>
          <w:tcPr>
            <w:tcW w:type="dxa" w:w="3912"/>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删除时间分区</w:t>
            </w:r>
          </w:p>
        </w:tc>
      </w:tr>
      <w:tr>
        <w:trPr>
          <w:cantSplit w:val="true"/>
        </w:trPr>
        <w:tc>
          <w:tcPr>
            <w:tcW w:type="dxa" w:w="2154"/>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已识别客户原始事件</w:t>
            </w:r>
          </w:p>
        </w:tc>
        <w:tc>
          <w:tcPr>
            <w:tcW w:type="dxa" w:w="2835"/>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180 天或业务确认期限</w:t>
            </w:r>
          </w:p>
        </w:tc>
        <w:tc>
          <w:tcPr>
            <w:tcW w:type="dxa" w:w="3912"/>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删除或转为聚合记录</w:t>
            </w:r>
          </w:p>
        </w:tc>
      </w:tr>
      <w:tr>
        <w:trPr>
          <w:cantSplit w:val="true"/>
        </w:trPr>
        <w:tc>
          <w:tcPr>
            <w:tcW w:type="dxa" w:w="2154"/>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聚合指标</w:t>
            </w:r>
          </w:p>
        </w:tc>
        <w:tc>
          <w:tcPr>
            <w:tcW w:type="dxa" w:w="2835"/>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13 至 25 个月</w:t>
            </w:r>
          </w:p>
        </w:tc>
        <w:tc>
          <w:tcPr>
            <w:tcW w:type="dxa" w:w="3912"/>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按业务分析周期清理</w:t>
            </w:r>
          </w:p>
        </w:tc>
      </w:tr>
      <w:tr>
        <w:trPr>
          <w:cantSplit w:val="true"/>
        </w:trPr>
        <w:tc>
          <w:tcPr>
            <w:tcW w:type="dxa" w:w="2154"/>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同意与审计记录</w:t>
            </w:r>
          </w:p>
        </w:tc>
        <w:tc>
          <w:tcPr>
            <w:tcW w:type="dxa" w:w="2835"/>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按法律和争议处理要求确定</w:t>
            </w:r>
          </w:p>
        </w:tc>
        <w:tc>
          <w:tcPr>
            <w:tcW w:type="dxa" w:w="3912"/>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受控归档后删除</w:t>
            </w:r>
          </w:p>
        </w:tc>
      </w:tr>
      <w:tr>
        <w:trPr>
          <w:cantSplit w:val="true"/>
        </w:trPr>
        <w:tc>
          <w:tcPr>
            <w:tcW w:type="dxa" w:w="2154"/>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导出文件</w:t>
            </w:r>
          </w:p>
        </w:tc>
        <w:tc>
          <w:tcPr>
            <w:tcW w:type="dxa" w:w="2835"/>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7 天</w:t>
            </w:r>
          </w:p>
        </w:tc>
        <w:tc>
          <w:tcPr>
            <w:tcW w:type="dxa" w:w="3912"/>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对象存储自动过期</w:t>
            </w:r>
          </w:p>
        </w:tc>
      </w:tr>
      <w:tr>
        <w:trPr>
          <w:cantSplit w:val="true"/>
        </w:trPr>
        <w:tc>
          <w:tcPr>
            <w:tcW w:type="dxa" w:w="2154"/>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应用日志</w:t>
            </w:r>
          </w:p>
        </w:tc>
        <w:tc>
          <w:tcPr>
            <w:tcW w:type="dxa" w:w="2835"/>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30 至 90 天</w:t>
            </w:r>
          </w:p>
        </w:tc>
        <w:tc>
          <w:tcPr>
            <w:tcW w:type="dxa" w:w="3912"/>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自动删除且不含完整 PII</w:t>
            </w:r>
          </w:p>
        </w:tc>
      </w:tr>
    </w:tbl>
    <w:p>
      <w:pPr>
        <w:spacing w:before="0" w:after="40" w:line="240" w:lineRule="auto"/>
      </w:pPr>
    </w:p>
    <w:p>
      <w:pPr>
        <w:spacing w:before="0" w:after="120" w:line="341" w:lineRule="auto"/>
        <w:ind w:firstLine="420"/>
      </w:pPr>
      <w:r>
        <w:rPr>
          <w:rFonts w:ascii="Aptos" w:hAnsi="Aptos" w:eastAsia="Microsoft YaHei"/>
          <w:color w:val="1F1F1F"/>
          <w:sz w:val="21"/>
        </w:rPr>
        <w:t>以上期限是产品默认值，不是法律结论。最终期限要结合业务必要性、用户承诺、争议处理需要、行业要求及部署地区确认。</w:t>
      </w:r>
    </w:p>
    <w:p>
      <w:pPr>
        <w:pStyle w:val="Heading1"/>
        <w:keepNext/>
        <w:keepLines/>
      </w:pPr>
      <w:r>
        <w:rPr>
          <w:rFonts w:ascii="Aptos Display" w:hAnsi="Aptos Display" w:eastAsia="Microsoft YaHei"/>
          <w:color w:val="000000"/>
        </w:rPr>
        <w:t>11 部署和运维</w:t>
      </w:r>
    </w:p>
    <w:p>
      <w:pPr>
        <w:pStyle w:val="Heading2"/>
        <w:keepNext/>
        <w:keepLines/>
      </w:pPr>
      <w:r>
        <w:rPr>
          <w:rFonts w:ascii="Aptos Display" w:hAnsi="Aptos Display" w:eastAsia="Microsoft YaHei"/>
          <w:color w:val="000000"/>
        </w:rPr>
        <w:t>11 1 环境划分</w:t>
      </w:r>
    </w:p>
    <w:tbl>
      <w:tblPr>
        <w:tblW w:type="auto" w:w="0"/>
        <w:jc w:val="center"/>
        <w:tblLayout w:type="fixed"/>
        <w:tblLook w:firstColumn="1" w:firstRow="1" w:lastColumn="0" w:lastRow="0" w:noHBand="0" w:noVBand="1" w:val="04A0"/>
      </w:tblPr>
      <w:tblGrid>
        <w:gridCol w:w="3081"/>
        <w:gridCol w:w="3081"/>
        <w:gridCol w:w="3081"/>
      </w:tblGrid>
      <w:tr>
        <w:trPr>
          <w:tblHeader w:val="true"/>
          <w:cantSplit w:val="true"/>
        </w:trPr>
        <w:tc>
          <w:tcPr>
            <w:tcW w:type="dxa" w:w="1587"/>
            <w:shd w:fill="17365D"/>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76" w:lineRule="auto"/>
              <w:jc w:val="center"/>
            </w:pPr>
            <w:r/>
            <w:r>
              <w:rPr>
                <w:rFonts w:ascii="Aptos" w:hAnsi="Aptos" w:eastAsia="Microsoft YaHei"/>
                <w:b/>
                <w:color w:val="FFFFFF"/>
                <w:sz w:val="18"/>
              </w:rPr>
              <w:t>环境</w:t>
            </w:r>
          </w:p>
        </w:tc>
        <w:tc>
          <w:tcPr>
            <w:tcW w:type="dxa" w:w="3402"/>
            <w:shd w:fill="17365D"/>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76" w:lineRule="auto"/>
              <w:jc w:val="center"/>
            </w:pPr>
            <w:r/>
            <w:r>
              <w:rPr>
                <w:rFonts w:ascii="Aptos" w:hAnsi="Aptos" w:eastAsia="Microsoft YaHei"/>
                <w:b/>
                <w:color w:val="FFFFFF"/>
                <w:sz w:val="18"/>
              </w:rPr>
              <w:t>用途</w:t>
            </w:r>
          </w:p>
        </w:tc>
        <w:tc>
          <w:tcPr>
            <w:tcW w:type="dxa" w:w="3912"/>
            <w:shd w:fill="17365D"/>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76" w:lineRule="auto"/>
              <w:jc w:val="center"/>
            </w:pPr>
            <w:r/>
            <w:r>
              <w:rPr>
                <w:rFonts w:ascii="Aptos" w:hAnsi="Aptos" w:eastAsia="Microsoft YaHei"/>
                <w:b/>
                <w:color w:val="FFFFFF"/>
                <w:sz w:val="18"/>
              </w:rPr>
              <w:t>数据要求</w:t>
            </w:r>
          </w:p>
        </w:tc>
      </w:tr>
      <w:tr>
        <w:trPr>
          <w:cantSplit w:val="true"/>
        </w:trPr>
        <w:tc>
          <w:tcPr>
            <w:tcW w:type="dxa" w:w="1587"/>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开发</w:t>
            </w:r>
          </w:p>
        </w:tc>
        <w:tc>
          <w:tcPr>
            <w:tcW w:type="dxa" w:w="3402"/>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功能开发和本地调试</w:t>
            </w:r>
          </w:p>
        </w:tc>
        <w:tc>
          <w:tcPr>
            <w:tcW w:type="dxa" w:w="3912"/>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仅使用模拟数据</w:t>
            </w:r>
          </w:p>
        </w:tc>
      </w:tr>
      <w:tr>
        <w:trPr>
          <w:cantSplit w:val="true"/>
        </w:trPr>
        <w:tc>
          <w:tcPr>
            <w:tcW w:type="dxa" w:w="1587"/>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测试</w:t>
            </w:r>
          </w:p>
        </w:tc>
        <w:tc>
          <w:tcPr>
            <w:tcW w:type="dxa" w:w="3402"/>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集成 自动化和性能基线</w:t>
            </w:r>
          </w:p>
        </w:tc>
        <w:tc>
          <w:tcPr>
            <w:tcW w:type="dxa" w:w="3912"/>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脱敏或合成数据</w:t>
            </w:r>
          </w:p>
        </w:tc>
      </w:tr>
      <w:tr>
        <w:trPr>
          <w:cantSplit w:val="true"/>
        </w:trPr>
        <w:tc>
          <w:tcPr>
            <w:tcW w:type="dxa" w:w="1587"/>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预生产</w:t>
            </w:r>
          </w:p>
        </w:tc>
        <w:tc>
          <w:tcPr>
            <w:tcW w:type="dxa" w:w="3402"/>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发布演练和生产近似验证</w:t>
            </w:r>
          </w:p>
        </w:tc>
        <w:tc>
          <w:tcPr>
            <w:tcW w:type="dxa" w:w="3912"/>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禁止无审批复制生产 PII</w:t>
            </w:r>
          </w:p>
        </w:tc>
      </w:tr>
      <w:tr>
        <w:trPr>
          <w:cantSplit w:val="true"/>
        </w:trPr>
        <w:tc>
          <w:tcPr>
            <w:tcW w:type="dxa" w:w="1587"/>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生产</w:t>
            </w:r>
          </w:p>
        </w:tc>
        <w:tc>
          <w:tcPr>
            <w:tcW w:type="dxa" w:w="3402"/>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正式采集和后台使用</w:t>
            </w:r>
          </w:p>
        </w:tc>
        <w:tc>
          <w:tcPr>
            <w:tcW w:type="dxa" w:w="3912"/>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严格权限 审计 备份和监控</w:t>
            </w:r>
          </w:p>
        </w:tc>
      </w:tr>
    </w:tbl>
    <w:p>
      <w:pPr>
        <w:spacing w:before="0" w:after="40" w:line="240" w:lineRule="auto"/>
      </w:pPr>
    </w:p>
    <w:p>
      <w:pPr>
        <w:pStyle w:val="Heading2"/>
        <w:keepNext/>
        <w:keepLines/>
      </w:pPr>
      <w:r>
        <w:rPr>
          <w:rFonts w:ascii="Aptos Display" w:hAnsi="Aptos Display" w:eastAsia="Microsoft YaHei"/>
          <w:color w:val="000000"/>
        </w:rPr>
        <w:t>11 2 可观测性</w:t>
      </w:r>
    </w:p>
    <w:p>
      <w:pPr>
        <w:pStyle w:val="ListBullet"/>
        <w:keepNext w:val="0"/>
        <w:keepLines/>
        <w:spacing w:before="0" w:after="60" w:line="312" w:lineRule="auto"/>
        <w:ind w:left="425" w:hanging="198"/>
      </w:pPr>
      <w:r>
        <w:rPr>
          <w:rFonts w:ascii="Aptos" w:hAnsi="Aptos" w:eastAsia="Microsoft YaHei"/>
          <w:color w:val="1F1F1F"/>
          <w:sz w:val="20"/>
        </w:rPr>
        <w:t>采集请求量、接受量、拒绝量、去重量、队列积压和处理延迟。</w:t>
      </w:r>
    </w:p>
    <w:p>
      <w:pPr>
        <w:pStyle w:val="ListBullet"/>
        <w:keepNext w:val="0"/>
        <w:keepLines/>
        <w:spacing w:before="0" w:after="60" w:line="312" w:lineRule="auto"/>
        <w:ind w:left="425" w:hanging="198"/>
      </w:pPr>
      <w:r>
        <w:rPr>
          <w:rFonts w:ascii="Aptos" w:hAnsi="Aptos" w:eastAsia="Microsoft YaHei"/>
          <w:color w:val="1F1F1F"/>
          <w:sz w:val="20"/>
        </w:rPr>
        <w:t>按 SDK 版本、站点、事件类型和错误原因查看数据质量。</w:t>
      </w:r>
    </w:p>
    <w:p>
      <w:pPr>
        <w:pStyle w:val="ListBullet"/>
        <w:keepNext w:val="0"/>
        <w:keepLines/>
        <w:spacing w:before="0" w:after="60" w:line="312" w:lineRule="auto"/>
        <w:ind w:left="425" w:hanging="198"/>
      </w:pPr>
      <w:r>
        <w:rPr>
          <w:rFonts w:ascii="Aptos" w:hAnsi="Aptos" w:eastAsia="Microsoft YaHei"/>
          <w:color w:val="1F1F1F"/>
          <w:sz w:val="20"/>
        </w:rPr>
        <w:t>API 延迟分位数、错误率、资源使用率、数据库连接和慢查询。</w:t>
      </w:r>
    </w:p>
    <w:p>
      <w:pPr>
        <w:pStyle w:val="ListBullet"/>
        <w:keepNext w:val="0"/>
        <w:keepLines/>
        <w:spacing w:before="0" w:after="60" w:line="312" w:lineRule="auto"/>
        <w:ind w:left="425" w:hanging="198"/>
      </w:pPr>
      <w:r>
        <w:rPr>
          <w:rFonts w:ascii="Aptos" w:hAnsi="Aptos" w:eastAsia="Microsoft YaHei"/>
          <w:color w:val="1F1F1F"/>
          <w:sz w:val="20"/>
        </w:rPr>
        <w:t>身份合并成功、冲突、撤销和人工修正数量。</w:t>
      </w:r>
    </w:p>
    <w:p>
      <w:pPr>
        <w:pStyle w:val="ListBullet"/>
        <w:keepNext w:val="0"/>
        <w:keepLines/>
        <w:spacing w:before="0" w:after="60" w:line="312" w:lineRule="auto"/>
        <w:ind w:left="425" w:hanging="198"/>
      </w:pPr>
      <w:r>
        <w:rPr>
          <w:rFonts w:ascii="Aptos" w:hAnsi="Aptos" w:eastAsia="Microsoft YaHei"/>
          <w:color w:val="1F1F1F"/>
          <w:sz w:val="20"/>
        </w:rPr>
        <w:t>导出、删除、Webhook 和保留任务的成功率与重试状态。</w:t>
      </w:r>
    </w:p>
    <w:p>
      <w:pPr>
        <w:pStyle w:val="ListBullet"/>
        <w:keepNext w:val="0"/>
        <w:keepLines/>
        <w:spacing w:before="0" w:after="60" w:line="312" w:lineRule="auto"/>
        <w:ind w:left="425" w:hanging="198"/>
      </w:pPr>
      <w:r>
        <w:rPr>
          <w:rFonts w:ascii="Aptos" w:hAnsi="Aptos" w:eastAsia="Microsoft YaHei"/>
          <w:color w:val="1F1F1F"/>
          <w:sz w:val="20"/>
        </w:rPr>
        <w:t>告警必须包含影响范围、开始时间、站点和可执行的排查信息。</w:t>
      </w:r>
    </w:p>
    <w:p>
      <w:pPr>
        <w:pStyle w:val="Heading2"/>
        <w:keepNext/>
        <w:keepLines/>
      </w:pPr>
      <w:r>
        <w:rPr>
          <w:rFonts w:ascii="Aptos Display" w:hAnsi="Aptos Display" w:eastAsia="Microsoft YaHei"/>
          <w:color w:val="000000"/>
        </w:rPr>
        <w:t>11 3 备份和恢复</w:t>
      </w:r>
    </w:p>
    <w:p>
      <w:pPr>
        <w:spacing w:before="0" w:after="120" w:line="341" w:lineRule="auto"/>
        <w:ind w:firstLine="420"/>
      </w:pPr>
      <w:r>
        <w:rPr>
          <w:rFonts w:ascii="Aptos" w:hAnsi="Aptos" w:eastAsia="Microsoft YaHei"/>
          <w:color w:val="1F1F1F"/>
          <w:sz w:val="21"/>
        </w:rPr>
        <w:t>生产数据库至少采用自动备份和时间点恢复能力，并定期执行恢复演练。对象存储启用生命周期和服务端加密。恢复方案必须同时验证租户隔离、加密密钥、队列一致性以及保留删除任务不会因恢复旧备份而永久复活已删除数据。恢复时间目标和恢复点目标应在基础设施选型阶段由业务方确认。</w:t>
      </w:r>
    </w:p>
    <w:p>
      <w:r>
        <w:br w:type="page"/>
      </w:r>
    </w:p>
    <w:p>
      <w:pPr>
        <w:pStyle w:val="Heading1"/>
        <w:keepNext/>
        <w:keepLines/>
      </w:pPr>
      <w:r>
        <w:rPr>
          <w:rFonts w:ascii="Aptos Display" w:hAnsi="Aptos Display" w:eastAsia="Microsoft YaHei"/>
          <w:color w:val="000000"/>
        </w:rPr>
        <w:t>12 实施计划</w:t>
      </w:r>
    </w:p>
    <w:p>
      <w:pPr>
        <w:pStyle w:val="Heading2"/>
        <w:keepNext/>
        <w:keepLines/>
      </w:pPr>
      <w:r>
        <w:rPr>
          <w:rFonts w:ascii="Aptos Display" w:hAnsi="Aptos Display" w:eastAsia="Microsoft YaHei"/>
          <w:color w:val="000000"/>
        </w:rPr>
        <w:t>12 1 阶段安排</w:t>
      </w:r>
    </w:p>
    <w:p>
      <w:pPr>
        <w:spacing w:before="0" w:after="120" w:line="341" w:lineRule="auto"/>
        <w:ind w:firstLine="420"/>
      </w:pPr>
      <w:r>
        <w:rPr>
          <w:rFonts w:ascii="Aptos" w:hAnsi="Aptos" w:eastAsia="Microsoft YaHei"/>
          <w:color w:val="1F1F1F"/>
          <w:sz w:val="21"/>
        </w:rPr>
        <w:t>以下计划按 12 至 16 周编制，假设核心团队约 5 人并行工作。若只有 1 至 2 名开发人员、需要同时建设复杂设计系统，或首期就集成多个表单、商城和 CRM，工期需要重新估算。</w:t>
      </w:r>
    </w:p>
    <w:tbl>
      <w:tblPr>
        <w:tblW w:type="auto" w:w="0"/>
        <w:jc w:val="center"/>
        <w:tblLayout w:type="fixed"/>
        <w:tblLook w:firstColumn="1" w:firstRow="1" w:lastColumn="0" w:lastRow="0" w:noHBand="0" w:noVBand="1" w:val="04A0"/>
      </w:tblPr>
      <w:tblGrid>
        <w:gridCol w:w="2310"/>
        <w:gridCol w:w="2310"/>
        <w:gridCol w:w="2310"/>
        <w:gridCol w:w="2310"/>
      </w:tblGrid>
      <w:tr>
        <w:trPr>
          <w:tblHeader w:val="true"/>
          <w:cantSplit w:val="true"/>
        </w:trPr>
        <w:tc>
          <w:tcPr>
            <w:tcW w:type="dxa" w:w="1247"/>
            <w:shd w:fill="17365D"/>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76" w:lineRule="auto"/>
              <w:jc w:val="center"/>
            </w:pPr>
            <w:r/>
            <w:r>
              <w:rPr>
                <w:rFonts w:ascii="Aptos" w:hAnsi="Aptos" w:eastAsia="Microsoft YaHei"/>
                <w:b/>
                <w:color w:val="FFFFFF"/>
                <w:sz w:val="18"/>
              </w:rPr>
              <w:t>阶段</w:t>
            </w:r>
          </w:p>
        </w:tc>
        <w:tc>
          <w:tcPr>
            <w:tcW w:type="dxa" w:w="1417"/>
            <w:shd w:fill="17365D"/>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76" w:lineRule="auto"/>
              <w:jc w:val="center"/>
            </w:pPr>
            <w:r/>
            <w:r>
              <w:rPr>
                <w:rFonts w:ascii="Aptos" w:hAnsi="Aptos" w:eastAsia="Microsoft YaHei"/>
                <w:b/>
                <w:color w:val="FFFFFF"/>
                <w:sz w:val="18"/>
              </w:rPr>
              <w:t>建议周期</w:t>
            </w:r>
          </w:p>
        </w:tc>
        <w:tc>
          <w:tcPr>
            <w:tcW w:type="dxa" w:w="3855"/>
            <w:shd w:fill="17365D"/>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76" w:lineRule="auto"/>
              <w:jc w:val="center"/>
            </w:pPr>
            <w:r/>
            <w:r>
              <w:rPr>
                <w:rFonts w:ascii="Aptos" w:hAnsi="Aptos" w:eastAsia="Microsoft YaHei"/>
                <w:b/>
                <w:color w:val="FFFFFF"/>
                <w:sz w:val="18"/>
              </w:rPr>
              <w:t>主要交付</w:t>
            </w:r>
          </w:p>
        </w:tc>
        <w:tc>
          <w:tcPr>
            <w:tcW w:type="dxa" w:w="2381"/>
            <w:shd w:fill="17365D"/>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76" w:lineRule="auto"/>
              <w:jc w:val="center"/>
            </w:pPr>
            <w:r/>
            <w:r>
              <w:rPr>
                <w:rFonts w:ascii="Aptos" w:hAnsi="Aptos" w:eastAsia="Microsoft YaHei"/>
                <w:b/>
                <w:color w:val="FFFFFF"/>
                <w:sz w:val="18"/>
              </w:rPr>
              <w:t>退出条件</w:t>
            </w:r>
          </w:p>
        </w:tc>
      </w:tr>
      <w:tr>
        <w:trPr>
          <w:cantSplit w:val="true"/>
        </w:trPr>
        <w:tc>
          <w:tcPr>
            <w:tcW w:type="dxa" w:w="1247"/>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需求和治理</w:t>
            </w:r>
          </w:p>
        </w:tc>
        <w:tc>
          <w:tcPr>
            <w:tcW w:type="dxa" w:w="1417"/>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第 1 至 2 周</w:t>
            </w:r>
          </w:p>
        </w:tc>
        <w:tc>
          <w:tcPr>
            <w:tcW w:type="dxa" w:w="3855"/>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事件字典 数据边界 原型 容量假设 风险评审</w:t>
            </w:r>
          </w:p>
        </w:tc>
        <w:tc>
          <w:tcPr>
            <w:tcW w:type="dxa" w:w="2381"/>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范围和禁止采集项确认</w:t>
            </w:r>
          </w:p>
        </w:tc>
      </w:tr>
      <w:tr>
        <w:trPr>
          <w:cantSplit w:val="true"/>
        </w:trPr>
        <w:tc>
          <w:tcPr>
            <w:tcW w:type="dxa" w:w="1247"/>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平台基础</w:t>
            </w:r>
          </w:p>
        </w:tc>
        <w:tc>
          <w:tcPr>
            <w:tcW w:type="dxa" w:w="1417"/>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第 2 至 4 周</w:t>
            </w:r>
          </w:p>
        </w:tc>
        <w:tc>
          <w:tcPr>
            <w:tcW w:type="dxa" w:w="3855"/>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账户 组织 网站 权限 数据库 CI CD</w:t>
            </w:r>
          </w:p>
        </w:tc>
        <w:tc>
          <w:tcPr>
            <w:tcW w:type="dxa" w:w="2381"/>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环境可部署 基础权限通过</w:t>
            </w:r>
          </w:p>
        </w:tc>
      </w:tr>
      <w:tr>
        <w:trPr>
          <w:cantSplit w:val="true"/>
        </w:trPr>
        <w:tc>
          <w:tcPr>
            <w:tcW w:type="dxa" w:w="1247"/>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采集链路</w:t>
            </w:r>
          </w:p>
        </w:tc>
        <w:tc>
          <w:tcPr>
            <w:tcW w:type="dxa" w:w="1417"/>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第 4 至 7 周</w:t>
            </w:r>
          </w:p>
        </w:tc>
        <w:tc>
          <w:tcPr>
            <w:tcW w:type="dxa" w:w="3855"/>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SDK Collect API 队列 去重 会话</w:t>
            </w:r>
          </w:p>
        </w:tc>
        <w:tc>
          <w:tcPr>
            <w:tcW w:type="dxa" w:w="2381"/>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测试站事件稳定入库</w:t>
            </w:r>
          </w:p>
        </w:tc>
      </w:tr>
      <w:tr>
        <w:trPr>
          <w:cantSplit w:val="true"/>
        </w:trPr>
        <w:tc>
          <w:tcPr>
            <w:tcW w:type="dxa" w:w="1247"/>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身份和后台</w:t>
            </w:r>
          </w:p>
        </w:tc>
        <w:tc>
          <w:tcPr>
            <w:tcW w:type="dxa" w:w="1417"/>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第 7 至 10 周</w:t>
            </w:r>
          </w:p>
        </w:tc>
        <w:tc>
          <w:tcPr>
            <w:tcW w:type="dxa" w:w="3855"/>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identify 服务端事件 客户列表 时间线</w:t>
            </w:r>
          </w:p>
        </w:tc>
        <w:tc>
          <w:tcPr>
            <w:tcW w:type="dxa" w:w="2381"/>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匿名历史可正确合并</w:t>
            </w:r>
          </w:p>
        </w:tc>
      </w:tr>
      <w:tr>
        <w:trPr>
          <w:cantSplit w:val="true"/>
        </w:trPr>
        <w:tc>
          <w:tcPr>
            <w:tcW w:type="dxa" w:w="1247"/>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治理和运维</w:t>
            </w:r>
          </w:p>
        </w:tc>
        <w:tc>
          <w:tcPr>
            <w:tcW w:type="dxa" w:w="1417"/>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第 10 至 12 周</w:t>
            </w:r>
          </w:p>
        </w:tc>
        <w:tc>
          <w:tcPr>
            <w:tcW w:type="dxa" w:w="3855"/>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同意 导出 删除 审计 监控 备份</w:t>
            </w:r>
          </w:p>
        </w:tc>
        <w:tc>
          <w:tcPr>
            <w:tcW w:type="dxa" w:w="2381"/>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安全和恢复检查通过</w:t>
            </w:r>
          </w:p>
        </w:tc>
      </w:tr>
      <w:tr>
        <w:trPr>
          <w:cantSplit w:val="true"/>
        </w:trPr>
        <w:tc>
          <w:tcPr>
            <w:tcW w:type="dxa" w:w="1247"/>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试点和上线</w:t>
            </w:r>
          </w:p>
        </w:tc>
        <w:tc>
          <w:tcPr>
            <w:tcW w:type="dxa" w:w="1417"/>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第 13 至 14 周</w:t>
            </w:r>
          </w:p>
        </w:tc>
        <w:tc>
          <w:tcPr>
            <w:tcW w:type="dxa" w:w="3855"/>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灰度 压测 数据核对 使用培训</w:t>
            </w:r>
          </w:p>
        </w:tc>
        <w:tc>
          <w:tcPr>
            <w:tcW w:type="dxa" w:w="2381"/>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验收目标达到</w:t>
            </w:r>
          </w:p>
        </w:tc>
      </w:tr>
      <w:tr>
        <w:trPr>
          <w:cantSplit w:val="true"/>
        </w:trPr>
        <w:tc>
          <w:tcPr>
            <w:tcW w:type="dxa" w:w="1247"/>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缓冲和修正</w:t>
            </w:r>
          </w:p>
        </w:tc>
        <w:tc>
          <w:tcPr>
            <w:tcW w:type="dxa" w:w="1417"/>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第 15 至 16 周</w:t>
            </w:r>
          </w:p>
        </w:tc>
        <w:tc>
          <w:tcPr>
            <w:tcW w:type="dxa" w:w="3855"/>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兼容性 性能和试点问题修正</w:t>
            </w:r>
          </w:p>
        </w:tc>
        <w:tc>
          <w:tcPr>
            <w:tcW w:type="dxa" w:w="2381"/>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生产上线批准</w:t>
            </w:r>
          </w:p>
        </w:tc>
      </w:tr>
    </w:tbl>
    <w:p>
      <w:pPr>
        <w:spacing w:before="0" w:after="40" w:line="240" w:lineRule="auto"/>
      </w:pPr>
    </w:p>
    <w:p>
      <w:pPr>
        <w:pStyle w:val="Heading2"/>
        <w:keepNext/>
        <w:keepLines/>
      </w:pPr>
      <w:r>
        <w:rPr>
          <w:rFonts w:ascii="Aptos Display" w:hAnsi="Aptos Display" w:eastAsia="Microsoft YaHei"/>
          <w:color w:val="000000"/>
        </w:rPr>
        <w:t>12 2 工作分解</w:t>
      </w:r>
    </w:p>
    <w:tbl>
      <w:tblPr>
        <w:tblW w:type="auto" w:w="0"/>
        <w:jc w:val="center"/>
        <w:tblLayout w:type="fixed"/>
        <w:tblLook w:firstColumn="1" w:firstRow="1" w:lastColumn="0" w:lastRow="0" w:noHBand="0" w:noVBand="1" w:val="04A0"/>
      </w:tblPr>
      <w:tblGrid>
        <w:gridCol w:w="3081"/>
        <w:gridCol w:w="3081"/>
        <w:gridCol w:w="3081"/>
      </w:tblGrid>
      <w:tr>
        <w:trPr>
          <w:tblHeader w:val="true"/>
          <w:cantSplit w:val="true"/>
        </w:trPr>
        <w:tc>
          <w:tcPr>
            <w:tcW w:type="dxa" w:w="1701"/>
            <w:shd w:fill="17365D"/>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76" w:lineRule="auto"/>
              <w:jc w:val="center"/>
            </w:pPr>
            <w:r/>
            <w:r>
              <w:rPr>
                <w:rFonts w:ascii="Aptos" w:hAnsi="Aptos" w:eastAsia="Microsoft YaHei"/>
                <w:b/>
                <w:color w:val="FFFFFF"/>
                <w:sz w:val="18"/>
              </w:rPr>
              <w:t>工作包</w:t>
            </w:r>
          </w:p>
        </w:tc>
        <w:tc>
          <w:tcPr>
            <w:tcW w:type="dxa" w:w="4592"/>
            <w:shd w:fill="17365D"/>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76" w:lineRule="auto"/>
              <w:jc w:val="center"/>
            </w:pPr>
            <w:r/>
            <w:r>
              <w:rPr>
                <w:rFonts w:ascii="Aptos" w:hAnsi="Aptos" w:eastAsia="Microsoft YaHei"/>
                <w:b/>
                <w:color w:val="FFFFFF"/>
                <w:sz w:val="18"/>
              </w:rPr>
              <w:t>关键任务</w:t>
            </w:r>
          </w:p>
        </w:tc>
        <w:tc>
          <w:tcPr>
            <w:tcW w:type="dxa" w:w="2608"/>
            <w:shd w:fill="17365D"/>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76" w:lineRule="auto"/>
              <w:jc w:val="center"/>
            </w:pPr>
            <w:r/>
            <w:r>
              <w:rPr>
                <w:rFonts w:ascii="Aptos" w:hAnsi="Aptos" w:eastAsia="Microsoft YaHei"/>
                <w:b/>
                <w:color w:val="FFFFFF"/>
                <w:sz w:val="18"/>
              </w:rPr>
              <w:t>依赖</w:t>
            </w:r>
          </w:p>
        </w:tc>
      </w:tr>
      <w:tr>
        <w:trPr>
          <w:cantSplit w:val="true"/>
        </w:trPr>
        <w:tc>
          <w:tcPr>
            <w:tcW w:type="dxa" w:w="1701"/>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产品和数据</w:t>
            </w:r>
          </w:p>
        </w:tc>
        <w:tc>
          <w:tcPr>
            <w:tcW w:type="dxa" w:w="4592"/>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客户旅程 事件目录 属性 Schema 指标口径</w:t>
            </w:r>
          </w:p>
        </w:tc>
        <w:tc>
          <w:tcPr>
            <w:tcW w:type="dxa" w:w="2608"/>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业务场景和合规边界</w:t>
            </w:r>
          </w:p>
        </w:tc>
      </w:tr>
      <w:tr>
        <w:trPr>
          <w:cantSplit w:val="true"/>
        </w:trPr>
        <w:tc>
          <w:tcPr>
            <w:tcW w:type="dxa" w:w="1701"/>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SDK</w:t>
            </w:r>
          </w:p>
        </w:tc>
        <w:tc>
          <w:tcPr>
            <w:tcW w:type="dxa" w:w="4592"/>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初始化 标识 会话 页面 生命周期 事件缓冲 配置 发布</w:t>
            </w:r>
          </w:p>
        </w:tc>
        <w:tc>
          <w:tcPr>
            <w:tcW w:type="dxa" w:w="2608"/>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事件 Schema 和采集接口</w:t>
            </w:r>
          </w:p>
        </w:tc>
      </w:tr>
      <w:tr>
        <w:trPr>
          <w:cantSplit w:val="true"/>
        </w:trPr>
        <w:tc>
          <w:tcPr>
            <w:tcW w:type="dxa" w:w="1701"/>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采集平台</w:t>
            </w:r>
          </w:p>
        </w:tc>
        <w:tc>
          <w:tcPr>
            <w:tcW w:type="dxa" w:w="4592"/>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批次 API 校验 限流 去重 队列 可观测性</w:t>
            </w:r>
          </w:p>
        </w:tc>
        <w:tc>
          <w:tcPr>
            <w:tcW w:type="dxa" w:w="2608"/>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基础设施和站点模型</w:t>
            </w:r>
          </w:p>
        </w:tc>
      </w:tr>
      <w:tr>
        <w:trPr>
          <w:cantSplit w:val="true"/>
        </w:trPr>
        <w:tc>
          <w:tcPr>
            <w:tcW w:type="dxa" w:w="1701"/>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身份服务</w:t>
            </w:r>
          </w:p>
        </w:tc>
        <w:tc>
          <w:tcPr>
            <w:tcW w:type="dxa" w:w="4592"/>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令牌 身份表 合并 冲突 撤销和审计</w:t>
            </w:r>
          </w:p>
        </w:tc>
        <w:tc>
          <w:tcPr>
            <w:tcW w:type="dxa" w:w="2608"/>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服务端接入方式</w:t>
            </w:r>
          </w:p>
        </w:tc>
      </w:tr>
      <w:tr>
        <w:trPr>
          <w:cantSplit w:val="true"/>
        </w:trPr>
        <w:tc>
          <w:tcPr>
            <w:tcW w:type="dxa" w:w="1701"/>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业务后台</w:t>
            </w:r>
          </w:p>
        </w:tc>
        <w:tc>
          <w:tcPr>
            <w:tcW w:type="dxa" w:w="4592"/>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账户 权限 客户 时间线 查询 分析 设置</w:t>
            </w:r>
          </w:p>
        </w:tc>
        <w:tc>
          <w:tcPr>
            <w:tcW w:type="dxa" w:w="2608"/>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数据模型和设计原型</w:t>
            </w:r>
          </w:p>
        </w:tc>
      </w:tr>
      <w:tr>
        <w:trPr>
          <w:cantSplit w:val="true"/>
        </w:trPr>
        <w:tc>
          <w:tcPr>
            <w:tcW w:type="dxa" w:w="1701"/>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治理安全</w:t>
            </w:r>
          </w:p>
        </w:tc>
        <w:tc>
          <w:tcPr>
            <w:tcW w:type="dxa" w:w="4592"/>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同意 保留 导出 删除 加密 密钥 审计</w:t>
            </w:r>
          </w:p>
        </w:tc>
        <w:tc>
          <w:tcPr>
            <w:tcW w:type="dxa" w:w="2608"/>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法规和权限决策</w:t>
            </w:r>
          </w:p>
        </w:tc>
      </w:tr>
      <w:tr>
        <w:trPr>
          <w:cantSplit w:val="true"/>
        </w:trPr>
        <w:tc>
          <w:tcPr>
            <w:tcW w:type="dxa" w:w="1701"/>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质量上线</w:t>
            </w:r>
          </w:p>
        </w:tc>
        <w:tc>
          <w:tcPr>
            <w:tcW w:type="dxa" w:w="4592"/>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自动化 兼容 压测 灰度 对账 应急和恢复演练</w:t>
            </w:r>
          </w:p>
        </w:tc>
        <w:tc>
          <w:tcPr>
            <w:tcW w:type="dxa" w:w="2608"/>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可部署的端到端版本</w:t>
            </w:r>
          </w:p>
        </w:tc>
      </w:tr>
    </w:tbl>
    <w:p>
      <w:pPr>
        <w:spacing w:before="0" w:after="40" w:line="240" w:lineRule="auto"/>
      </w:pPr>
    </w:p>
    <w:p>
      <w:r>
        <w:br w:type="page"/>
      </w:r>
    </w:p>
    <w:p>
      <w:pPr>
        <w:pStyle w:val="Heading2"/>
        <w:keepNext/>
        <w:keepLines/>
      </w:pPr>
      <w:r>
        <w:rPr>
          <w:rFonts w:ascii="Aptos Display" w:hAnsi="Aptos Display" w:eastAsia="Microsoft YaHei"/>
          <w:color w:val="000000"/>
        </w:rPr>
        <w:t>12 3 团队建议</w:t>
      </w:r>
    </w:p>
    <w:tbl>
      <w:tblPr>
        <w:tblW w:type="auto" w:w="0"/>
        <w:jc w:val="center"/>
        <w:tblLayout w:type="fixed"/>
        <w:tblLook w:firstColumn="1" w:firstRow="1" w:lastColumn="0" w:lastRow="0" w:noHBand="0" w:noVBand="1" w:val="04A0"/>
      </w:tblPr>
      <w:tblGrid>
        <w:gridCol w:w="3081"/>
        <w:gridCol w:w="3081"/>
        <w:gridCol w:w="3081"/>
      </w:tblGrid>
      <w:tr>
        <w:trPr>
          <w:tblHeader w:val="true"/>
          <w:cantSplit w:val="true"/>
        </w:trPr>
        <w:tc>
          <w:tcPr>
            <w:tcW w:type="dxa" w:w="1701"/>
            <w:shd w:fill="17365D"/>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76" w:lineRule="auto"/>
              <w:jc w:val="center"/>
            </w:pPr>
            <w:r/>
            <w:r>
              <w:rPr>
                <w:rFonts w:ascii="Aptos" w:hAnsi="Aptos" w:eastAsia="Microsoft YaHei"/>
                <w:b/>
                <w:color w:val="FFFFFF"/>
                <w:sz w:val="18"/>
              </w:rPr>
              <w:t>角色</w:t>
            </w:r>
          </w:p>
        </w:tc>
        <w:tc>
          <w:tcPr>
            <w:tcW w:type="dxa" w:w="1928"/>
            <w:shd w:fill="17365D"/>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76" w:lineRule="auto"/>
              <w:jc w:val="center"/>
            </w:pPr>
            <w:r/>
            <w:r>
              <w:rPr>
                <w:rFonts w:ascii="Aptos" w:hAnsi="Aptos" w:eastAsia="Microsoft YaHei"/>
                <w:b/>
                <w:color w:val="FFFFFF"/>
                <w:sz w:val="18"/>
              </w:rPr>
              <w:t>建议投入</w:t>
            </w:r>
          </w:p>
        </w:tc>
        <w:tc>
          <w:tcPr>
            <w:tcW w:type="dxa" w:w="5272"/>
            <w:shd w:fill="17365D"/>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76" w:lineRule="auto"/>
              <w:jc w:val="center"/>
            </w:pPr>
            <w:r/>
            <w:r>
              <w:rPr>
                <w:rFonts w:ascii="Aptos" w:hAnsi="Aptos" w:eastAsia="Microsoft YaHei"/>
                <w:b/>
                <w:color w:val="FFFFFF"/>
                <w:sz w:val="18"/>
              </w:rPr>
              <w:t>主要责任</w:t>
            </w:r>
          </w:p>
        </w:tc>
      </w:tr>
      <w:tr>
        <w:trPr>
          <w:cantSplit w:val="true"/>
        </w:trPr>
        <w:tc>
          <w:tcPr>
            <w:tcW w:type="dxa" w:w="1701"/>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产品负责人</w:t>
            </w:r>
          </w:p>
        </w:tc>
        <w:tc>
          <w:tcPr>
            <w:tcW w:type="dxa" w:w="1928"/>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0.5 至 1 人</w:t>
            </w:r>
          </w:p>
        </w:tc>
        <w:tc>
          <w:tcPr>
            <w:tcW w:type="dxa" w:w="5272"/>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范围 事件口径 原型 试点和验收</w:t>
            </w:r>
          </w:p>
        </w:tc>
      </w:tr>
      <w:tr>
        <w:trPr>
          <w:cantSplit w:val="true"/>
        </w:trPr>
        <w:tc>
          <w:tcPr>
            <w:tcW w:type="dxa" w:w="1701"/>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技术负责人</w:t>
            </w:r>
          </w:p>
        </w:tc>
        <w:tc>
          <w:tcPr>
            <w:tcW w:type="dxa" w:w="1928"/>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1 人</w:t>
            </w:r>
          </w:p>
        </w:tc>
        <w:tc>
          <w:tcPr>
            <w:tcW w:type="dxa" w:w="5272"/>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架构 数据模型 安全评审和交付质量</w:t>
            </w:r>
          </w:p>
        </w:tc>
      </w:tr>
      <w:tr>
        <w:trPr>
          <w:cantSplit w:val="true"/>
        </w:trPr>
        <w:tc>
          <w:tcPr>
            <w:tcW w:type="dxa" w:w="1701"/>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后端开发</w:t>
            </w:r>
          </w:p>
        </w:tc>
        <w:tc>
          <w:tcPr>
            <w:tcW w:type="dxa" w:w="1928"/>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2 人</w:t>
            </w:r>
          </w:p>
        </w:tc>
        <w:tc>
          <w:tcPr>
            <w:tcW w:type="dxa" w:w="5272"/>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采集 业务 API 身份 数据和任务处理</w:t>
            </w:r>
          </w:p>
        </w:tc>
      </w:tr>
      <w:tr>
        <w:trPr>
          <w:cantSplit w:val="true"/>
        </w:trPr>
        <w:tc>
          <w:tcPr>
            <w:tcW w:type="dxa" w:w="1701"/>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前端开发</w:t>
            </w:r>
          </w:p>
        </w:tc>
        <w:tc>
          <w:tcPr>
            <w:tcW w:type="dxa" w:w="1928"/>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1 人</w:t>
            </w:r>
          </w:p>
        </w:tc>
        <w:tc>
          <w:tcPr>
            <w:tcW w:type="dxa" w:w="5272"/>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SDK 和管理后台，可按阶段调整重点</w:t>
            </w:r>
          </w:p>
        </w:tc>
      </w:tr>
      <w:tr>
        <w:trPr>
          <w:cantSplit w:val="true"/>
        </w:trPr>
        <w:tc>
          <w:tcPr>
            <w:tcW w:type="dxa" w:w="1701"/>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测试工程师</w:t>
            </w:r>
          </w:p>
        </w:tc>
        <w:tc>
          <w:tcPr>
            <w:tcW w:type="dxa" w:w="1928"/>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1 人</w:t>
            </w:r>
          </w:p>
        </w:tc>
        <w:tc>
          <w:tcPr>
            <w:tcW w:type="dxa" w:w="5272"/>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自动化 兼容 性能 数据准确性和回归</w:t>
            </w:r>
          </w:p>
        </w:tc>
      </w:tr>
      <w:tr>
        <w:trPr>
          <w:cantSplit w:val="true"/>
        </w:trPr>
        <w:tc>
          <w:tcPr>
            <w:tcW w:type="dxa" w:w="1701"/>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运维安全</w:t>
            </w:r>
          </w:p>
        </w:tc>
        <w:tc>
          <w:tcPr>
            <w:tcW w:type="dxa" w:w="1928"/>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0.5 人</w:t>
            </w:r>
          </w:p>
        </w:tc>
        <w:tc>
          <w:tcPr>
            <w:tcW w:type="dxa" w:w="5272"/>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环境 CI CD 监控 备份 密钥和上线</w:t>
            </w:r>
          </w:p>
        </w:tc>
      </w:tr>
      <w:tr>
        <w:trPr>
          <w:cantSplit w:val="true"/>
        </w:trPr>
        <w:tc>
          <w:tcPr>
            <w:tcW w:type="dxa" w:w="1701"/>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合规顾问</w:t>
            </w:r>
          </w:p>
        </w:tc>
        <w:tc>
          <w:tcPr>
            <w:tcW w:type="dxa" w:w="1928"/>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按节点参与</w:t>
            </w:r>
          </w:p>
        </w:tc>
        <w:tc>
          <w:tcPr>
            <w:tcW w:type="dxa" w:w="5272"/>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告知 同意 保留 跨境和合同评审</w:t>
            </w:r>
          </w:p>
        </w:tc>
      </w:tr>
    </w:tbl>
    <w:p>
      <w:pPr>
        <w:spacing w:before="0" w:after="40" w:line="240" w:lineRule="auto"/>
      </w:pPr>
    </w:p>
    <w:p>
      <w:r>
        <w:br w:type="page"/>
      </w:r>
    </w:p>
    <w:p>
      <w:pPr>
        <w:pStyle w:val="Heading1"/>
        <w:keepNext/>
        <w:keepLines/>
      </w:pPr>
      <w:r>
        <w:rPr>
          <w:rFonts w:ascii="Aptos Display" w:hAnsi="Aptos Display" w:eastAsia="Microsoft YaHei"/>
          <w:color w:val="000000"/>
        </w:rPr>
        <w:t>13 测试和验收</w:t>
      </w:r>
    </w:p>
    <w:p>
      <w:pPr>
        <w:pStyle w:val="Heading2"/>
        <w:keepNext/>
        <w:keepLines/>
      </w:pPr>
      <w:r>
        <w:rPr>
          <w:rFonts w:ascii="Aptos Display" w:hAnsi="Aptos Display" w:eastAsia="Microsoft YaHei"/>
          <w:color w:val="000000"/>
        </w:rPr>
        <w:t>13 1 测试范围</w:t>
      </w:r>
    </w:p>
    <w:tbl>
      <w:tblPr>
        <w:tblW w:type="auto" w:w="0"/>
        <w:jc w:val="center"/>
        <w:tblLayout w:type="fixed"/>
        <w:tblLook w:firstColumn="1" w:firstRow="1" w:lastColumn="0" w:lastRow="0" w:noHBand="0" w:noVBand="1" w:val="04A0"/>
      </w:tblPr>
      <w:tblGrid>
        <w:gridCol w:w="4621"/>
        <w:gridCol w:w="4621"/>
      </w:tblGrid>
      <w:tr>
        <w:trPr>
          <w:tblHeader w:val="true"/>
          <w:cantSplit w:val="true"/>
        </w:trPr>
        <w:tc>
          <w:tcPr>
            <w:tcW w:type="dxa" w:w="1928"/>
            <w:shd w:fill="17365D"/>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76" w:lineRule="auto"/>
              <w:jc w:val="center"/>
            </w:pPr>
            <w:r/>
            <w:r>
              <w:rPr>
                <w:rFonts w:ascii="Aptos" w:hAnsi="Aptos" w:eastAsia="Microsoft YaHei"/>
                <w:b/>
                <w:color w:val="FFFFFF"/>
                <w:sz w:val="18"/>
              </w:rPr>
              <w:t>测试类型</w:t>
            </w:r>
          </w:p>
        </w:tc>
        <w:tc>
          <w:tcPr>
            <w:tcW w:type="dxa" w:w="6973"/>
            <w:shd w:fill="17365D"/>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76" w:lineRule="auto"/>
              <w:jc w:val="center"/>
            </w:pPr>
            <w:r/>
            <w:r>
              <w:rPr>
                <w:rFonts w:ascii="Aptos" w:hAnsi="Aptos" w:eastAsia="Microsoft YaHei"/>
                <w:b/>
                <w:color w:val="FFFFFF"/>
                <w:sz w:val="18"/>
              </w:rPr>
              <w:t>重点内容</w:t>
            </w:r>
          </w:p>
        </w:tc>
      </w:tr>
      <w:tr>
        <w:trPr>
          <w:cantSplit w:val="true"/>
        </w:trPr>
        <w:tc>
          <w:tcPr>
            <w:tcW w:type="dxa" w:w="1928"/>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SDK 单元测试</w:t>
            </w:r>
          </w:p>
        </w:tc>
        <w:tc>
          <w:tcPr>
            <w:tcW w:type="dxa" w:w="6973"/>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标识 会话 路由 生命周期 授权 过滤 重试和异常隔离</w:t>
            </w:r>
          </w:p>
        </w:tc>
      </w:tr>
      <w:tr>
        <w:trPr>
          <w:cantSplit w:val="true"/>
        </w:trPr>
        <w:tc>
          <w:tcPr>
            <w:tcW w:type="dxa" w:w="1928"/>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浏览器兼容</w:t>
            </w:r>
          </w:p>
        </w:tc>
        <w:tc>
          <w:tcPr>
            <w:tcW w:type="dxa" w:w="6973"/>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桌面 移动 SPA 多页 页面隐藏 弱网和禁用存储</w:t>
            </w:r>
          </w:p>
        </w:tc>
      </w:tr>
      <w:tr>
        <w:trPr>
          <w:cantSplit w:val="true"/>
        </w:trPr>
        <w:tc>
          <w:tcPr>
            <w:tcW w:type="dxa" w:w="1928"/>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接口测试</w:t>
            </w:r>
          </w:p>
        </w:tc>
        <w:tc>
          <w:tcPr>
            <w:tcW w:type="dxa" w:w="6973"/>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Schema 限流 去重 重放 签名 权限 错误码和版本兼容</w:t>
            </w:r>
          </w:p>
        </w:tc>
      </w:tr>
      <w:tr>
        <w:trPr>
          <w:cantSplit w:val="true"/>
        </w:trPr>
        <w:tc>
          <w:tcPr>
            <w:tcW w:type="dxa" w:w="1928"/>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数据准确性</w:t>
            </w:r>
          </w:p>
        </w:tc>
        <w:tc>
          <w:tcPr>
            <w:tcW w:type="dxa" w:w="6973"/>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页面数 会话边界 活跃时间 来源 身份合并和指标对账</w:t>
            </w:r>
          </w:p>
        </w:tc>
      </w:tr>
      <w:tr>
        <w:trPr>
          <w:cantSplit w:val="true"/>
        </w:trPr>
        <w:tc>
          <w:tcPr>
            <w:tcW w:type="dxa" w:w="1928"/>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安全测试</w:t>
            </w:r>
          </w:p>
        </w:tc>
        <w:tc>
          <w:tcPr>
            <w:tcW w:type="dxa" w:w="6973"/>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越权 认证 注入 XSS CSRF SSRF 密钥泄漏和资源消耗</w:t>
            </w:r>
          </w:p>
        </w:tc>
      </w:tr>
      <w:tr>
        <w:trPr>
          <w:cantSplit w:val="true"/>
        </w:trPr>
        <w:tc>
          <w:tcPr>
            <w:tcW w:type="dxa" w:w="1928"/>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性能测试</w:t>
            </w:r>
          </w:p>
        </w:tc>
        <w:tc>
          <w:tcPr>
            <w:tcW w:type="dxa" w:w="6973"/>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突发流量 持续写入 队列积压 查询并发和分区维护</w:t>
            </w:r>
          </w:p>
        </w:tc>
      </w:tr>
      <w:tr>
        <w:trPr>
          <w:cantSplit w:val="true"/>
        </w:trPr>
        <w:tc>
          <w:tcPr>
            <w:tcW w:type="dxa" w:w="1928"/>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隐私测试</w:t>
            </w:r>
          </w:p>
        </w:tc>
        <w:tc>
          <w:tcPr>
            <w:tcW w:type="dxa" w:w="6973"/>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拒绝 撤回 URL 过滤 导出 删除 备份生命周期和审计</w:t>
            </w:r>
          </w:p>
        </w:tc>
      </w:tr>
      <w:tr>
        <w:trPr>
          <w:cantSplit w:val="true"/>
        </w:trPr>
        <w:tc>
          <w:tcPr>
            <w:tcW w:type="dxa" w:w="1928"/>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灾难恢复</w:t>
            </w:r>
          </w:p>
        </w:tc>
        <w:tc>
          <w:tcPr>
            <w:tcW w:type="dxa" w:w="6973"/>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数据库恢复 密钥可用 队列重放和删除任务一致性</w:t>
            </w:r>
          </w:p>
        </w:tc>
      </w:tr>
    </w:tbl>
    <w:p>
      <w:pPr>
        <w:spacing w:before="0" w:after="40" w:line="240" w:lineRule="auto"/>
      </w:pPr>
    </w:p>
    <w:p>
      <w:pPr>
        <w:pStyle w:val="Heading2"/>
        <w:keepNext/>
        <w:keepLines/>
      </w:pPr>
      <w:r>
        <w:rPr>
          <w:rFonts w:ascii="Aptos Display" w:hAnsi="Aptos Display" w:eastAsia="Microsoft YaHei"/>
          <w:color w:val="000000"/>
        </w:rPr>
        <w:t>13 2 MVP 验收指标</w:t>
      </w:r>
    </w:p>
    <w:tbl>
      <w:tblPr>
        <w:tblW w:type="auto" w:w="0"/>
        <w:jc w:val="center"/>
        <w:tblLayout w:type="fixed"/>
        <w:tblLook w:firstColumn="1" w:firstRow="1" w:lastColumn="0" w:lastRow="0" w:noHBand="0" w:noVBand="1" w:val="04A0"/>
      </w:tblPr>
      <w:tblGrid>
        <w:gridCol w:w="3081"/>
        <w:gridCol w:w="3081"/>
        <w:gridCol w:w="3081"/>
      </w:tblGrid>
      <w:tr>
        <w:trPr>
          <w:tblHeader w:val="true"/>
          <w:cantSplit w:val="true"/>
        </w:trPr>
        <w:tc>
          <w:tcPr>
            <w:tcW w:type="dxa" w:w="1757"/>
            <w:shd w:fill="17365D"/>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76" w:lineRule="auto"/>
              <w:jc w:val="center"/>
            </w:pPr>
            <w:r/>
            <w:r>
              <w:rPr>
                <w:rFonts w:ascii="Aptos" w:hAnsi="Aptos" w:eastAsia="Microsoft YaHei"/>
                <w:b/>
                <w:color w:val="FFFFFF"/>
                <w:sz w:val="18"/>
              </w:rPr>
              <w:t>验收项</w:t>
            </w:r>
          </w:p>
        </w:tc>
        <w:tc>
          <w:tcPr>
            <w:tcW w:type="dxa" w:w="3458"/>
            <w:shd w:fill="17365D"/>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76" w:lineRule="auto"/>
              <w:jc w:val="center"/>
            </w:pPr>
            <w:r/>
            <w:r>
              <w:rPr>
                <w:rFonts w:ascii="Aptos" w:hAnsi="Aptos" w:eastAsia="Microsoft YaHei"/>
                <w:b/>
                <w:color w:val="FFFFFF"/>
                <w:sz w:val="18"/>
              </w:rPr>
              <w:t>建议目标</w:t>
            </w:r>
          </w:p>
        </w:tc>
        <w:tc>
          <w:tcPr>
            <w:tcW w:type="dxa" w:w="3685"/>
            <w:shd w:fill="17365D"/>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76" w:lineRule="auto"/>
              <w:jc w:val="center"/>
            </w:pPr>
            <w:r/>
            <w:r>
              <w:rPr>
                <w:rFonts w:ascii="Aptos" w:hAnsi="Aptos" w:eastAsia="Microsoft YaHei"/>
                <w:b/>
                <w:color w:val="FFFFFF"/>
                <w:sz w:val="18"/>
              </w:rPr>
              <w:t>说明</w:t>
            </w:r>
          </w:p>
        </w:tc>
      </w:tr>
      <w:tr>
        <w:trPr>
          <w:cantSplit w:val="true"/>
        </w:trPr>
        <w:tc>
          <w:tcPr>
            <w:tcW w:type="dxa" w:w="1757"/>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事件接收</w:t>
            </w:r>
          </w:p>
        </w:tc>
        <w:tc>
          <w:tcPr>
            <w:tcW w:type="dxa" w:w="3458"/>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正常网络和受支持浏览器下达到约定成功率</w:t>
            </w:r>
          </w:p>
        </w:tc>
        <w:tc>
          <w:tcPr>
            <w:tcW w:type="dxa" w:w="3685"/>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上线前以测试基线冻结具体数值</w:t>
            </w:r>
          </w:p>
        </w:tc>
      </w:tr>
      <w:tr>
        <w:trPr>
          <w:cantSplit w:val="true"/>
        </w:trPr>
        <w:tc>
          <w:tcPr>
            <w:tcW w:type="dxa" w:w="1757"/>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事件去重</w:t>
            </w:r>
          </w:p>
        </w:tc>
        <w:tc>
          <w:tcPr>
            <w:tcW w:type="dxa" w:w="3458"/>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重复 event_id 不产生重复业务记录</w:t>
            </w:r>
          </w:p>
        </w:tc>
        <w:tc>
          <w:tcPr>
            <w:tcW w:type="dxa" w:w="3685"/>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覆盖客户端重试和队列重放</w:t>
            </w:r>
          </w:p>
        </w:tc>
      </w:tr>
      <w:tr>
        <w:trPr>
          <w:cantSplit w:val="true"/>
        </w:trPr>
        <w:tc>
          <w:tcPr>
            <w:tcW w:type="dxa" w:w="1757"/>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会话</w:t>
            </w:r>
          </w:p>
        </w:tc>
        <w:tc>
          <w:tcPr>
            <w:tcW w:type="dxa" w:w="3458"/>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跨页和 30 分钟超时边界与测试用例一致</w:t>
            </w:r>
          </w:p>
        </w:tc>
        <w:tc>
          <w:tcPr>
            <w:tcW w:type="dxa" w:w="3685"/>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支持站点配置</w:t>
            </w:r>
          </w:p>
        </w:tc>
      </w:tr>
      <w:tr>
        <w:trPr>
          <w:cantSplit w:val="true"/>
        </w:trPr>
        <w:tc>
          <w:tcPr>
            <w:tcW w:type="dxa" w:w="1757"/>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身份合并</w:t>
            </w:r>
          </w:p>
        </w:tc>
        <w:tc>
          <w:tcPr>
            <w:tcW w:type="dxa" w:w="3458"/>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确定性测试样本全部得到预期关系</w:t>
            </w:r>
          </w:p>
        </w:tc>
        <w:tc>
          <w:tcPr>
            <w:tcW w:type="dxa" w:w="3685"/>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覆盖冲突 撤销和跨设备登录</w:t>
            </w:r>
          </w:p>
        </w:tc>
      </w:tr>
      <w:tr>
        <w:trPr>
          <w:cantSplit w:val="true"/>
        </w:trPr>
        <w:tc>
          <w:tcPr>
            <w:tcW w:type="dxa" w:w="1757"/>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停留时间</w:t>
            </w:r>
          </w:p>
        </w:tc>
        <w:tc>
          <w:tcPr>
            <w:tcW w:type="dxa" w:w="3458"/>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前后台切换及空闲行为与定义一致</w:t>
            </w:r>
          </w:p>
        </w:tc>
        <w:tc>
          <w:tcPr>
            <w:tcW w:type="dxa" w:w="3685"/>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允许浏览器异常退出造成小范围估算</w:t>
            </w:r>
          </w:p>
        </w:tc>
      </w:tr>
      <w:tr>
        <w:trPr>
          <w:cantSplit w:val="true"/>
        </w:trPr>
        <w:tc>
          <w:tcPr>
            <w:tcW w:type="dxa" w:w="1757"/>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性能</w:t>
            </w:r>
          </w:p>
        </w:tc>
        <w:tc>
          <w:tcPr>
            <w:tcW w:type="dxa" w:w="3458"/>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约定峰值下 API 延迟和队列积压不超过阈值</w:t>
            </w:r>
          </w:p>
        </w:tc>
        <w:tc>
          <w:tcPr>
            <w:tcW w:type="dxa" w:w="3685"/>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由容量测试确定阈值</w:t>
            </w:r>
          </w:p>
        </w:tc>
      </w:tr>
      <w:tr>
        <w:trPr>
          <w:cantSplit w:val="true"/>
        </w:trPr>
        <w:tc>
          <w:tcPr>
            <w:tcW w:type="dxa" w:w="1757"/>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权限</w:t>
            </w:r>
          </w:p>
        </w:tc>
        <w:tc>
          <w:tcPr>
            <w:tcW w:type="dxa" w:w="3458"/>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跨组织访问测试全部拒绝</w:t>
            </w:r>
          </w:p>
        </w:tc>
        <w:tc>
          <w:tcPr>
            <w:tcW w:type="dxa" w:w="3685"/>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客户 导出 删除和密钥均覆盖</w:t>
            </w:r>
          </w:p>
        </w:tc>
      </w:tr>
      <w:tr>
        <w:trPr>
          <w:cantSplit w:val="true"/>
        </w:trPr>
        <w:tc>
          <w:tcPr>
            <w:tcW w:type="dxa" w:w="1757"/>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隐私</w:t>
            </w:r>
          </w:p>
        </w:tc>
        <w:tc>
          <w:tcPr>
            <w:tcW w:type="dxa" w:w="3458"/>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拒绝后无非必要事件，导出删除可追踪</w:t>
            </w:r>
          </w:p>
        </w:tc>
        <w:tc>
          <w:tcPr>
            <w:tcW w:type="dxa" w:w="3685"/>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覆盖缓存 队列和对象文件</w:t>
            </w:r>
          </w:p>
        </w:tc>
      </w:tr>
      <w:tr>
        <w:trPr>
          <w:cantSplit w:val="true"/>
        </w:trPr>
        <w:tc>
          <w:tcPr>
            <w:tcW w:type="dxa" w:w="1757"/>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故障隔离</w:t>
            </w:r>
          </w:p>
        </w:tc>
        <w:tc>
          <w:tcPr>
            <w:tcW w:type="dxa" w:w="3458"/>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SDK 或采集服务故障不影响网站主要功能</w:t>
            </w:r>
          </w:p>
        </w:tc>
        <w:tc>
          <w:tcPr>
            <w:tcW w:type="dxa" w:w="3685"/>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通过断网 超时和 5xx 注入验证</w:t>
            </w:r>
          </w:p>
        </w:tc>
      </w:tr>
    </w:tbl>
    <w:p>
      <w:pPr>
        <w:spacing w:before="0" w:after="40" w:line="240" w:lineRule="auto"/>
      </w:pPr>
    </w:p>
    <w:p>
      <w:r>
        <w:br w:type="page"/>
      </w:r>
    </w:p>
    <w:p>
      <w:pPr>
        <w:pStyle w:val="Heading1"/>
        <w:keepNext/>
        <w:keepLines/>
      </w:pPr>
      <w:r>
        <w:rPr>
          <w:rFonts w:ascii="Aptos Display" w:hAnsi="Aptos Display" w:eastAsia="Microsoft YaHei"/>
          <w:color w:val="000000"/>
        </w:rPr>
        <w:t>14 风险和应对</w:t>
      </w:r>
    </w:p>
    <w:tbl>
      <w:tblPr>
        <w:tblW w:type="auto" w:w="0"/>
        <w:jc w:val="center"/>
        <w:tblLayout w:type="fixed"/>
        <w:tblLook w:firstColumn="1" w:firstRow="1" w:lastColumn="0" w:lastRow="0" w:noHBand="0" w:noVBand="1" w:val="04A0"/>
      </w:tblPr>
      <w:tblGrid>
        <w:gridCol w:w="2310"/>
        <w:gridCol w:w="2310"/>
        <w:gridCol w:w="2310"/>
        <w:gridCol w:w="2310"/>
      </w:tblGrid>
      <w:tr>
        <w:trPr>
          <w:tblHeader w:val="true"/>
          <w:cantSplit w:val="true"/>
        </w:trPr>
        <w:tc>
          <w:tcPr>
            <w:tcW w:type="dxa" w:w="2324"/>
            <w:shd w:fill="17365D"/>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76" w:lineRule="auto"/>
              <w:jc w:val="center"/>
            </w:pPr>
            <w:r/>
            <w:r>
              <w:rPr>
                <w:rFonts w:ascii="Aptos" w:hAnsi="Aptos" w:eastAsia="Microsoft YaHei"/>
                <w:b/>
                <w:color w:val="FFFFFF"/>
                <w:sz w:val="18"/>
              </w:rPr>
              <w:t>风险</w:t>
            </w:r>
          </w:p>
        </w:tc>
        <w:tc>
          <w:tcPr>
            <w:tcW w:type="dxa" w:w="2041"/>
            <w:shd w:fill="17365D"/>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76" w:lineRule="auto"/>
              <w:jc w:val="center"/>
            </w:pPr>
            <w:r/>
            <w:r>
              <w:rPr>
                <w:rFonts w:ascii="Aptos" w:hAnsi="Aptos" w:eastAsia="Microsoft YaHei"/>
                <w:b/>
                <w:color w:val="FFFFFF"/>
                <w:sz w:val="18"/>
              </w:rPr>
              <w:t>影响</w:t>
            </w:r>
          </w:p>
        </w:tc>
        <w:tc>
          <w:tcPr>
            <w:tcW w:type="dxa" w:w="1020"/>
            <w:shd w:fill="17365D"/>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76" w:lineRule="auto"/>
              <w:jc w:val="center"/>
            </w:pPr>
            <w:r/>
            <w:r>
              <w:rPr>
                <w:rFonts w:ascii="Aptos" w:hAnsi="Aptos" w:eastAsia="Microsoft YaHei"/>
                <w:b/>
                <w:color w:val="FFFFFF"/>
                <w:sz w:val="18"/>
              </w:rPr>
              <w:t>优先级</w:t>
            </w:r>
          </w:p>
        </w:tc>
        <w:tc>
          <w:tcPr>
            <w:tcW w:type="dxa" w:w="3515"/>
            <w:shd w:fill="17365D"/>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76" w:lineRule="auto"/>
              <w:jc w:val="center"/>
            </w:pPr>
            <w:r/>
            <w:r>
              <w:rPr>
                <w:rFonts w:ascii="Aptos" w:hAnsi="Aptos" w:eastAsia="Microsoft YaHei"/>
                <w:b/>
                <w:color w:val="FFFFFF"/>
                <w:sz w:val="18"/>
              </w:rPr>
              <w:t>应对措施</w:t>
            </w:r>
          </w:p>
        </w:tc>
      </w:tr>
      <w:tr>
        <w:trPr>
          <w:cantSplit w:val="true"/>
        </w:trPr>
        <w:tc>
          <w:tcPr>
            <w:tcW w:type="dxa" w:w="2324"/>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过度采集个人信息</w:t>
            </w:r>
          </w:p>
        </w:tc>
        <w:tc>
          <w:tcPr>
            <w:tcW w:type="dxa" w:w="2041"/>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合规和信任风险</w:t>
            </w:r>
          </w:p>
        </w:tc>
        <w:tc>
          <w:tcPr>
            <w:tcW w:type="dxa" w:w="1020"/>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center"/>
            </w:pPr>
            <w:r/>
            <w:r>
              <w:rPr>
                <w:rFonts w:ascii="Aptos" w:hAnsi="Aptos" w:eastAsia="Microsoft YaHei"/>
                <w:color w:val="1F1F1F"/>
                <w:sz w:val="16"/>
              </w:rPr>
              <w:t>高</w:t>
            </w:r>
          </w:p>
        </w:tc>
        <w:tc>
          <w:tcPr>
            <w:tcW w:type="dxa" w:w="3515"/>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分级授权 字段白名单 禁止项 保留和删除</w:t>
            </w:r>
          </w:p>
        </w:tc>
      </w:tr>
      <w:tr>
        <w:trPr>
          <w:cantSplit w:val="true"/>
        </w:trPr>
        <w:tc>
          <w:tcPr>
            <w:tcW w:type="dxa" w:w="2324"/>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匿名接口被伪造</w:t>
            </w:r>
          </w:p>
        </w:tc>
        <w:tc>
          <w:tcPr>
            <w:tcW w:type="dxa" w:w="2041"/>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数据污染和资源消耗</w:t>
            </w:r>
          </w:p>
        </w:tc>
        <w:tc>
          <w:tcPr>
            <w:tcW w:type="dxa" w:w="1020"/>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center"/>
            </w:pPr>
            <w:r/>
            <w:r>
              <w:rPr>
                <w:rFonts w:ascii="Aptos" w:hAnsi="Aptos" w:eastAsia="Microsoft YaHei"/>
                <w:color w:val="1F1F1F"/>
                <w:sz w:val="16"/>
              </w:rPr>
              <w:t>高</w:t>
            </w:r>
          </w:p>
        </w:tc>
        <w:tc>
          <w:tcPr>
            <w:tcW w:type="dxa" w:w="3515"/>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限流 机器人识别 Schema 去重和异常检测</w:t>
            </w:r>
          </w:p>
        </w:tc>
      </w:tr>
      <w:tr>
        <w:trPr>
          <w:cantSplit w:val="true"/>
        </w:trPr>
        <w:tc>
          <w:tcPr>
            <w:tcW w:type="dxa" w:w="2324"/>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跨租户越权</w:t>
            </w:r>
          </w:p>
        </w:tc>
        <w:tc>
          <w:tcPr>
            <w:tcW w:type="dxa" w:w="2041"/>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严重数据泄露</w:t>
            </w:r>
          </w:p>
        </w:tc>
        <w:tc>
          <w:tcPr>
            <w:tcW w:type="dxa" w:w="1020"/>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center"/>
            </w:pPr>
            <w:r/>
            <w:r>
              <w:rPr>
                <w:rFonts w:ascii="Aptos" w:hAnsi="Aptos" w:eastAsia="Microsoft YaHei"/>
                <w:color w:val="1F1F1F"/>
                <w:sz w:val="16"/>
              </w:rPr>
              <w:t>高</w:t>
            </w:r>
          </w:p>
        </w:tc>
        <w:tc>
          <w:tcPr>
            <w:tcW w:type="dxa" w:w="3515"/>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组织级查询约束 授权测试 审计和字段脱敏</w:t>
            </w:r>
          </w:p>
        </w:tc>
      </w:tr>
      <w:tr>
        <w:trPr>
          <w:cantSplit w:val="true"/>
        </w:trPr>
        <w:tc>
          <w:tcPr>
            <w:tcW w:type="dxa" w:w="2324"/>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错误身份合并</w:t>
            </w:r>
          </w:p>
        </w:tc>
        <w:tc>
          <w:tcPr>
            <w:tcW w:type="dxa" w:w="2041"/>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客户轨迹混淆</w:t>
            </w:r>
          </w:p>
        </w:tc>
        <w:tc>
          <w:tcPr>
            <w:tcW w:type="dxa" w:w="1020"/>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center"/>
            </w:pPr>
            <w:r/>
            <w:r>
              <w:rPr>
                <w:rFonts w:ascii="Aptos" w:hAnsi="Aptos" w:eastAsia="Microsoft YaHei"/>
                <w:color w:val="1F1F1F"/>
                <w:sz w:val="16"/>
              </w:rPr>
              <w:t>高</w:t>
            </w:r>
          </w:p>
        </w:tc>
        <w:tc>
          <w:tcPr>
            <w:tcW w:type="dxa" w:w="3515"/>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只做确定性合并 冲突状态 可撤销关系</w:t>
            </w:r>
          </w:p>
        </w:tc>
      </w:tr>
      <w:tr>
        <w:trPr>
          <w:cantSplit w:val="true"/>
        </w:trPr>
        <w:tc>
          <w:tcPr>
            <w:tcW w:type="dxa" w:w="2324"/>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SDK 影响网站</w:t>
            </w:r>
          </w:p>
        </w:tc>
        <w:tc>
          <w:tcPr>
            <w:tcW w:type="dxa" w:w="2041"/>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加载变慢或业务中断</w:t>
            </w:r>
          </w:p>
        </w:tc>
        <w:tc>
          <w:tcPr>
            <w:tcW w:type="dxa" w:w="1020"/>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center"/>
            </w:pPr>
            <w:r/>
            <w:r>
              <w:rPr>
                <w:rFonts w:ascii="Aptos" w:hAnsi="Aptos" w:eastAsia="Microsoft YaHei"/>
                <w:color w:val="1F1F1F"/>
                <w:sz w:val="16"/>
              </w:rPr>
              <w:t>高</w:t>
            </w:r>
          </w:p>
        </w:tc>
        <w:tc>
          <w:tcPr>
            <w:tcW w:type="dxa" w:w="3515"/>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异步 小体积 异常隔离 性能预算和灰度</w:t>
            </w:r>
          </w:p>
        </w:tc>
      </w:tr>
      <w:tr>
        <w:trPr>
          <w:cantSplit w:val="true"/>
        </w:trPr>
        <w:tc>
          <w:tcPr>
            <w:tcW w:type="dxa" w:w="2324"/>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事件量增长过快</w:t>
            </w:r>
          </w:p>
        </w:tc>
        <w:tc>
          <w:tcPr>
            <w:tcW w:type="dxa" w:w="2041"/>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成本和查询下降</w:t>
            </w:r>
          </w:p>
        </w:tc>
        <w:tc>
          <w:tcPr>
            <w:tcW w:type="dxa" w:w="1020"/>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center"/>
            </w:pPr>
            <w:r/>
            <w:r>
              <w:rPr>
                <w:rFonts w:ascii="Aptos" w:hAnsi="Aptos" w:eastAsia="Microsoft YaHei"/>
                <w:color w:val="1F1F1F"/>
                <w:sz w:val="16"/>
              </w:rPr>
              <w:t>中</w:t>
            </w:r>
          </w:p>
        </w:tc>
        <w:tc>
          <w:tcPr>
            <w:tcW w:type="dxa" w:w="3515"/>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采样 聚合 保留 分区和容量告警</w:t>
            </w:r>
          </w:p>
        </w:tc>
      </w:tr>
      <w:tr>
        <w:trPr>
          <w:cantSplit w:val="true"/>
        </w:trPr>
        <w:tc>
          <w:tcPr>
            <w:tcW w:type="dxa" w:w="2324"/>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广告拦截和隐私浏览</w:t>
            </w:r>
          </w:p>
        </w:tc>
        <w:tc>
          <w:tcPr>
            <w:tcW w:type="dxa" w:w="2041"/>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采集覆盖不完整</w:t>
            </w:r>
          </w:p>
        </w:tc>
        <w:tc>
          <w:tcPr>
            <w:tcW w:type="dxa" w:w="1020"/>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center"/>
            </w:pPr>
            <w:r/>
            <w:r>
              <w:rPr>
                <w:rFonts w:ascii="Aptos" w:hAnsi="Aptos" w:eastAsia="Microsoft YaHei"/>
                <w:color w:val="1F1F1F"/>
                <w:sz w:val="16"/>
              </w:rPr>
              <w:t>中</w:t>
            </w:r>
          </w:p>
        </w:tc>
        <w:tc>
          <w:tcPr>
            <w:tcW w:type="dxa" w:w="3515"/>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第一方部署说明 服务端事件和覆盖率标记</w:t>
            </w:r>
          </w:p>
        </w:tc>
      </w:tr>
      <w:tr>
        <w:trPr>
          <w:cantSplit w:val="true"/>
        </w:trPr>
        <w:tc>
          <w:tcPr>
            <w:tcW w:type="dxa" w:w="2324"/>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指标口径不一致</w:t>
            </w:r>
          </w:p>
        </w:tc>
        <w:tc>
          <w:tcPr>
            <w:tcW w:type="dxa" w:w="2041"/>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团队无法信任数据</w:t>
            </w:r>
          </w:p>
        </w:tc>
        <w:tc>
          <w:tcPr>
            <w:tcW w:type="dxa" w:w="1020"/>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center"/>
            </w:pPr>
            <w:r/>
            <w:r>
              <w:rPr>
                <w:rFonts w:ascii="Aptos" w:hAnsi="Aptos" w:eastAsia="Microsoft YaHei"/>
                <w:color w:val="1F1F1F"/>
                <w:sz w:val="16"/>
              </w:rPr>
              <w:t>中</w:t>
            </w:r>
          </w:p>
        </w:tc>
        <w:tc>
          <w:tcPr>
            <w:tcW w:type="dxa" w:w="3515"/>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事件字典 版本 指标定义和对账用例</w:t>
            </w:r>
          </w:p>
        </w:tc>
      </w:tr>
      <w:tr>
        <w:trPr>
          <w:cantSplit w:val="true"/>
        </w:trPr>
        <w:tc>
          <w:tcPr>
            <w:tcW w:type="dxa" w:w="2324"/>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第三方集成失败</w:t>
            </w:r>
          </w:p>
        </w:tc>
        <w:tc>
          <w:tcPr>
            <w:tcW w:type="dxa" w:w="2041"/>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业务事件延迟</w:t>
            </w:r>
          </w:p>
        </w:tc>
        <w:tc>
          <w:tcPr>
            <w:tcW w:type="dxa" w:w="1020"/>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center"/>
            </w:pPr>
            <w:r/>
            <w:r>
              <w:rPr>
                <w:rFonts w:ascii="Aptos" w:hAnsi="Aptos" w:eastAsia="Microsoft YaHei"/>
                <w:color w:val="1F1F1F"/>
                <w:sz w:val="16"/>
              </w:rPr>
              <w:t>中</w:t>
            </w:r>
          </w:p>
        </w:tc>
        <w:tc>
          <w:tcPr>
            <w:tcW w:type="dxa" w:w="3515"/>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6"/>
              </w:rPr>
              <w:t>幂等 Webhook 重试 死信队列和监控</w:t>
            </w:r>
          </w:p>
        </w:tc>
      </w:tr>
    </w:tbl>
    <w:p>
      <w:pPr>
        <w:spacing w:before="0" w:after="40" w:line="240" w:lineRule="auto"/>
      </w:pPr>
    </w:p>
    <w:p>
      <w:r>
        <w:br w:type="page"/>
      </w:r>
    </w:p>
    <w:p>
      <w:pPr>
        <w:pStyle w:val="Heading1"/>
        <w:keepNext/>
        <w:keepLines/>
      </w:pPr>
      <w:r>
        <w:rPr>
          <w:rFonts w:ascii="Aptos Display" w:hAnsi="Aptos Display" w:eastAsia="Microsoft YaHei"/>
          <w:color w:val="000000"/>
        </w:rPr>
        <w:t>15 上线决策和下一步</w:t>
      </w:r>
    </w:p>
    <w:p>
      <w:pPr>
        <w:pStyle w:val="Heading2"/>
        <w:keepNext/>
        <w:keepLines/>
      </w:pPr>
      <w:r>
        <w:rPr>
          <w:rFonts w:ascii="Aptos Display" w:hAnsi="Aptos Display" w:eastAsia="Microsoft YaHei"/>
          <w:color w:val="000000"/>
        </w:rPr>
        <w:t>15 1 开发前必须确认</w:t>
      </w:r>
    </w:p>
    <w:p>
      <w:pPr>
        <w:spacing w:before="0" w:after="80" w:line="317" w:lineRule="auto"/>
        <w:ind w:left="465" w:hanging="238"/>
      </w:pPr>
      <w:r>
        <w:rPr>
          <w:rFonts w:ascii="Aptos" w:hAnsi="Aptos" w:eastAsia="Microsoft YaHei"/>
          <w:color w:val="1F1F1F"/>
          <w:sz w:val="20"/>
        </w:rPr>
        <w:t>1. 产品先服务自有网站还是计划直接作为多租户 SaaS 对外销售。</w:t>
      </w:r>
    </w:p>
    <w:p>
      <w:pPr>
        <w:spacing w:before="0" w:after="80" w:line="317" w:lineRule="auto"/>
        <w:ind w:left="465" w:hanging="238"/>
      </w:pPr>
      <w:r>
        <w:rPr>
          <w:rFonts w:ascii="Aptos" w:hAnsi="Aptos" w:eastAsia="Microsoft YaHei"/>
          <w:color w:val="1F1F1F"/>
          <w:sz w:val="20"/>
        </w:rPr>
        <w:t>2. 首个接入网站的技术栈、是否为 SPA、是否允许服务端改造。</w:t>
      </w:r>
    </w:p>
    <w:p>
      <w:pPr>
        <w:spacing w:before="0" w:after="80" w:line="317" w:lineRule="auto"/>
        <w:ind w:left="465" w:hanging="238"/>
      </w:pPr>
      <w:r>
        <w:rPr>
          <w:rFonts w:ascii="Aptos" w:hAnsi="Aptos" w:eastAsia="Microsoft YaHei"/>
          <w:color w:val="1F1F1F"/>
          <w:sz w:val="20"/>
        </w:rPr>
        <w:t>3. 首期必须识别的客户动作，例如询盘、注册、预约、支付或订阅。</w:t>
      </w:r>
    </w:p>
    <w:p>
      <w:pPr>
        <w:spacing w:before="0" w:after="80" w:line="317" w:lineRule="auto"/>
        <w:ind w:left="465" w:hanging="238"/>
      </w:pPr>
      <w:r>
        <w:rPr>
          <w:rFonts w:ascii="Aptos" w:hAnsi="Aptos" w:eastAsia="Microsoft YaHei"/>
          <w:color w:val="1F1F1F"/>
          <w:sz w:val="20"/>
        </w:rPr>
        <w:t>4. 日访问量、峰值请求、预期事件数和原始数据保留期限。</w:t>
      </w:r>
    </w:p>
    <w:p>
      <w:pPr>
        <w:spacing w:before="0" w:after="80" w:line="317" w:lineRule="auto"/>
        <w:ind w:left="465" w:hanging="238"/>
      </w:pPr>
      <w:r>
        <w:rPr>
          <w:rFonts w:ascii="Aptos" w:hAnsi="Aptos" w:eastAsia="Microsoft YaHei"/>
          <w:color w:val="1F1F1F"/>
          <w:sz w:val="20"/>
        </w:rPr>
        <w:t>5. 主要访客所在国家和地区，以及是否涉及跨境传输。</w:t>
      </w:r>
    </w:p>
    <w:p>
      <w:pPr>
        <w:spacing w:before="0" w:after="80" w:line="317" w:lineRule="auto"/>
        <w:ind w:left="465" w:hanging="238"/>
      </w:pPr>
      <w:r>
        <w:rPr>
          <w:rFonts w:ascii="Aptos" w:hAnsi="Aptos" w:eastAsia="Microsoft YaHei"/>
          <w:color w:val="1F1F1F"/>
          <w:sz w:val="20"/>
        </w:rPr>
        <w:t>6. 首期后台角色、联系方式可见范围、导出和删除审批人。</w:t>
      </w:r>
    </w:p>
    <w:p>
      <w:pPr>
        <w:spacing w:before="0" w:after="80" w:line="317" w:lineRule="auto"/>
        <w:ind w:left="465" w:hanging="238"/>
      </w:pPr>
      <w:r>
        <w:rPr>
          <w:rFonts w:ascii="Aptos" w:hAnsi="Aptos" w:eastAsia="Microsoft YaHei"/>
          <w:color w:val="1F1F1F"/>
          <w:sz w:val="20"/>
        </w:rPr>
        <w:t>7. 部署方式、云服务商、域名、证书、邮件和监控条件。</w:t>
      </w:r>
    </w:p>
    <w:p>
      <w:pPr>
        <w:pStyle w:val="Heading2"/>
        <w:keepNext/>
        <w:keepLines/>
      </w:pPr>
      <w:r>
        <w:rPr>
          <w:rFonts w:ascii="Aptos Display" w:hAnsi="Aptos Display" w:eastAsia="Microsoft YaHei"/>
          <w:color w:val="000000"/>
        </w:rPr>
        <w:t>15 2 建议启动顺序</w:t>
      </w:r>
    </w:p>
    <w:p>
      <w:pPr>
        <w:spacing w:before="0" w:after="80" w:line="317" w:lineRule="auto"/>
        <w:ind w:left="465" w:hanging="238"/>
      </w:pPr>
      <w:r>
        <w:rPr>
          <w:rFonts w:ascii="Aptos" w:hAnsi="Aptos" w:eastAsia="Microsoft YaHei"/>
          <w:color w:val="1F1F1F"/>
          <w:sz w:val="20"/>
        </w:rPr>
        <w:t>1. 用真实网站选取 10 至 15 个关键事件，完成事件字典和数据示例。</w:t>
      </w:r>
    </w:p>
    <w:p>
      <w:pPr>
        <w:spacing w:before="0" w:after="80" w:line="317" w:lineRule="auto"/>
        <w:ind w:left="465" w:hanging="238"/>
      </w:pPr>
      <w:r>
        <w:rPr>
          <w:rFonts w:ascii="Aptos" w:hAnsi="Aptos" w:eastAsia="Microsoft YaHei"/>
          <w:color w:val="1F1F1F"/>
          <w:sz w:val="20"/>
        </w:rPr>
        <w:t>2. 确认匿名、分析、已识别和业务事件四级数据边界。</w:t>
      </w:r>
    </w:p>
    <w:p>
      <w:pPr>
        <w:spacing w:before="0" w:after="80" w:line="317" w:lineRule="auto"/>
        <w:ind w:left="465" w:hanging="238"/>
      </w:pPr>
      <w:r>
        <w:rPr>
          <w:rFonts w:ascii="Aptos" w:hAnsi="Aptos" w:eastAsia="Microsoft YaHei"/>
          <w:color w:val="1F1F1F"/>
          <w:sz w:val="20"/>
        </w:rPr>
        <w:t>3. 完成管理后台低保真原型，优先验证客户列表和时间线。</w:t>
      </w:r>
    </w:p>
    <w:p>
      <w:pPr>
        <w:spacing w:before="0" w:after="80" w:line="317" w:lineRule="auto"/>
        <w:ind w:left="465" w:hanging="238"/>
      </w:pPr>
      <w:r>
        <w:rPr>
          <w:rFonts w:ascii="Aptos" w:hAnsi="Aptos" w:eastAsia="Microsoft YaHei"/>
          <w:color w:val="1F1F1F"/>
          <w:sz w:val="20"/>
        </w:rPr>
        <w:t>4. 建立最小端到端链路，从 SDK page_view 到后台时间线。</w:t>
      </w:r>
    </w:p>
    <w:p>
      <w:pPr>
        <w:spacing w:before="0" w:after="80" w:line="317" w:lineRule="auto"/>
        <w:ind w:left="465" w:hanging="238"/>
      </w:pPr>
      <w:r>
        <w:rPr>
          <w:rFonts w:ascii="Aptos" w:hAnsi="Aptos" w:eastAsia="Microsoft YaHei"/>
          <w:color w:val="1F1F1F"/>
          <w:sz w:val="20"/>
        </w:rPr>
        <w:t>5. 加入服务端身份令牌和一个真实表单或登录场景。</w:t>
      </w:r>
    </w:p>
    <w:p>
      <w:pPr>
        <w:spacing w:before="0" w:after="80" w:line="317" w:lineRule="auto"/>
        <w:ind w:left="465" w:hanging="238"/>
      </w:pPr>
      <w:r>
        <w:rPr>
          <w:rFonts w:ascii="Aptos" w:hAnsi="Aptos" w:eastAsia="Microsoft YaHei"/>
          <w:color w:val="1F1F1F"/>
          <w:sz w:val="20"/>
        </w:rPr>
        <w:t>6. 完成权限、删除、压测、灰度和数据对账后再扩大事件范围。</w:t>
      </w:r>
    </w:p>
    <w:p>
      <w:pPr>
        <w:spacing w:before="0" w:after="120" w:line="341" w:lineRule="auto"/>
        <w:ind w:firstLine="420"/>
      </w:pPr>
      <w:r>
        <w:rPr>
          <w:rFonts w:ascii="Aptos" w:hAnsi="Aptos" w:eastAsia="Microsoft YaHei"/>
          <w:color w:val="1F1F1F"/>
          <w:sz w:val="21"/>
        </w:rPr>
        <w:t>项目第一项工程交付应是端到端技术验证，而不是一次性完成全部采集事件。验证版本只需要让一个测试网站发送 page_view 和 page_engagement，在后台形成匿名访客、会话和时间线；随后再加入 identify 和一个服务端业务事件。这样可以尽早暴露 Cookie、跨域、事件顺序、时钟、身份和查询模型中的基础问题。</w:t>
      </w:r>
    </w:p>
    <w:p>
      <w:r>
        <w:br w:type="page"/>
      </w:r>
    </w:p>
    <w:p>
      <w:pPr>
        <w:pStyle w:val="Heading1"/>
        <w:keepNext/>
        <w:keepLines/>
      </w:pPr>
      <w:r>
        <w:rPr>
          <w:rFonts w:ascii="Aptos Display" w:hAnsi="Aptos Display" w:eastAsia="Microsoft YaHei"/>
          <w:color w:val="000000"/>
        </w:rPr>
        <w:t>附录 A MVP 交付清单</w:t>
      </w:r>
    </w:p>
    <w:tbl>
      <w:tblPr>
        <w:tblW w:type="auto" w:w="0"/>
        <w:jc w:val="center"/>
        <w:tblLayout w:type="fixed"/>
        <w:tblLook w:firstColumn="1" w:firstRow="1" w:lastColumn="0" w:lastRow="0" w:noHBand="0" w:noVBand="1" w:val="04A0"/>
      </w:tblPr>
      <w:tblGrid>
        <w:gridCol w:w="4621"/>
        <w:gridCol w:w="4621"/>
      </w:tblGrid>
      <w:tr>
        <w:trPr>
          <w:tblHeader w:val="true"/>
          <w:cantSplit w:val="true"/>
        </w:trPr>
        <w:tc>
          <w:tcPr>
            <w:tcW w:type="dxa" w:w="1984"/>
            <w:shd w:fill="17365D"/>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76" w:lineRule="auto"/>
              <w:jc w:val="center"/>
            </w:pPr>
            <w:r/>
            <w:r>
              <w:rPr>
                <w:rFonts w:ascii="Aptos" w:hAnsi="Aptos" w:eastAsia="Microsoft YaHei"/>
                <w:b/>
                <w:color w:val="FFFFFF"/>
                <w:sz w:val="18"/>
              </w:rPr>
              <w:t>交付物</w:t>
            </w:r>
          </w:p>
        </w:tc>
        <w:tc>
          <w:tcPr>
            <w:tcW w:type="dxa" w:w="6917"/>
            <w:shd w:fill="17365D"/>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76" w:lineRule="auto"/>
              <w:jc w:val="center"/>
            </w:pPr>
            <w:r/>
            <w:r>
              <w:rPr>
                <w:rFonts w:ascii="Aptos" w:hAnsi="Aptos" w:eastAsia="Microsoft YaHei"/>
                <w:b/>
                <w:color w:val="FFFFFF"/>
                <w:sz w:val="18"/>
              </w:rPr>
              <w:t>完成定义</w:t>
            </w:r>
          </w:p>
        </w:tc>
      </w:tr>
      <w:tr>
        <w:trPr>
          <w:cantSplit w:val="true"/>
        </w:trPr>
        <w:tc>
          <w:tcPr>
            <w:tcW w:type="dxa" w:w="1984"/>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Tracker JS</w:t>
            </w:r>
          </w:p>
        </w:tc>
        <w:tc>
          <w:tcPr>
            <w:tcW w:type="dxa" w:w="6917"/>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CDN 与 npm 产物 API 文档 版本策略 兼容矩阵和示例页面</w:t>
            </w:r>
          </w:p>
        </w:tc>
      </w:tr>
      <w:tr>
        <w:trPr>
          <w:cantSplit w:val="true"/>
        </w:trPr>
        <w:tc>
          <w:tcPr>
            <w:tcW w:type="dxa" w:w="1984"/>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Collect API</w:t>
            </w:r>
          </w:p>
        </w:tc>
        <w:tc>
          <w:tcPr>
            <w:tcW w:type="dxa" w:w="6917"/>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批量接口 Schema 限流 去重 错误码 指标和压测报告</w:t>
            </w:r>
          </w:p>
        </w:tc>
      </w:tr>
      <w:tr>
        <w:trPr>
          <w:cantSplit w:val="true"/>
        </w:trPr>
        <w:tc>
          <w:tcPr>
            <w:tcW w:type="dxa" w:w="1984"/>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Server API</w:t>
            </w:r>
          </w:p>
        </w:tc>
        <w:tc>
          <w:tcPr>
            <w:tcW w:type="dxa" w:w="6917"/>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服务端事件 身份令牌 签名 重放防护和接入示例</w:t>
            </w:r>
          </w:p>
        </w:tc>
      </w:tr>
      <w:tr>
        <w:trPr>
          <w:cantSplit w:val="true"/>
        </w:trPr>
        <w:tc>
          <w:tcPr>
            <w:tcW w:type="dxa" w:w="1984"/>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数据层</w:t>
            </w:r>
          </w:p>
        </w:tc>
        <w:tc>
          <w:tcPr>
            <w:tcW w:type="dxa" w:w="6917"/>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迁移脚本 索引 分区 保留任务 备份恢复说明</w:t>
            </w:r>
          </w:p>
        </w:tc>
      </w:tr>
      <w:tr>
        <w:trPr>
          <w:cantSplit w:val="true"/>
        </w:trPr>
        <w:tc>
          <w:tcPr>
            <w:tcW w:type="dxa" w:w="1984"/>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管理后台</w:t>
            </w:r>
          </w:p>
        </w:tc>
        <w:tc>
          <w:tcPr>
            <w:tcW w:type="dxa" w:w="6917"/>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账户 网站 客户 时间线 会话 设置 权限和审计</w:t>
            </w:r>
          </w:p>
        </w:tc>
      </w:tr>
      <w:tr>
        <w:trPr>
          <w:cantSplit w:val="true"/>
        </w:trPr>
        <w:tc>
          <w:tcPr>
            <w:tcW w:type="dxa" w:w="1984"/>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隐私能力</w:t>
            </w:r>
          </w:p>
        </w:tc>
        <w:tc>
          <w:tcPr>
            <w:tcW w:type="dxa" w:w="6917"/>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同意记录 URL 过滤 数据导出 删除和政策配置说明</w:t>
            </w:r>
          </w:p>
        </w:tc>
      </w:tr>
      <w:tr>
        <w:trPr>
          <w:cantSplit w:val="true"/>
        </w:trPr>
        <w:tc>
          <w:tcPr>
            <w:tcW w:type="dxa" w:w="1984"/>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运维</w:t>
            </w:r>
          </w:p>
        </w:tc>
        <w:tc>
          <w:tcPr>
            <w:tcW w:type="dxa" w:w="6917"/>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Docker 部署 CI CD 监控 告警 密钥轮换和应急手册</w:t>
            </w:r>
          </w:p>
        </w:tc>
      </w:tr>
      <w:tr>
        <w:trPr>
          <w:cantSplit w:val="true"/>
        </w:trPr>
        <w:tc>
          <w:tcPr>
            <w:tcW w:type="dxa" w:w="1984"/>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质量</w:t>
            </w:r>
          </w:p>
        </w:tc>
        <w:tc>
          <w:tcPr>
            <w:tcW w:type="dxa" w:w="6917"/>
            <w:shd w:fill="EEF4FA"/>
            <w:tcMar>
              <w:top w:w="110" w:type="dxa"/>
              <w:start w:w="130" w:type="dxa"/>
              <w:bottom w:w="110" w:type="dxa"/>
              <w:end w:w="13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before="0" w:after="0" w:line="293" w:lineRule="auto"/>
              <w:jc w:val="left"/>
            </w:pPr>
            <w:r/>
            <w:r>
              <w:rPr>
                <w:rFonts w:ascii="Aptos" w:hAnsi="Aptos" w:eastAsia="Microsoft YaHei"/>
                <w:color w:val="1F1F1F"/>
                <w:sz w:val="17"/>
              </w:rPr>
              <w:t>自动化测试 数据对账 性能 安全和上线验收记录</w:t>
            </w:r>
          </w:p>
        </w:tc>
      </w:tr>
    </w:tbl>
    <w:p>
      <w:pPr>
        <w:spacing w:before="0" w:after="40" w:line="240" w:lineRule="auto"/>
      </w:pPr>
    </w:p>
    <w:p>
      <w:pPr>
        <w:pStyle w:val="Heading1"/>
        <w:keepNext/>
        <w:keepLines/>
      </w:pPr>
      <w:r>
        <w:rPr>
          <w:rFonts w:ascii="Aptos Display" w:hAnsi="Aptos Display" w:eastAsia="Microsoft YaHei"/>
          <w:color w:val="000000"/>
        </w:rPr>
        <w:t>附录 B 参考资料</w:t>
      </w:r>
    </w:p>
    <w:p>
      <w:pPr>
        <w:spacing w:before="0" w:after="80" w:line="317" w:lineRule="auto"/>
        <w:ind w:left="465" w:hanging="238"/>
      </w:pPr>
      <w:r>
        <w:rPr>
          <w:rFonts w:ascii="Aptos" w:hAnsi="Aptos" w:eastAsia="Microsoft YaHei"/>
          <w:color w:val="1F1F1F"/>
          <w:sz w:val="20"/>
        </w:rPr>
        <w:t>1. 中华人民共和国个人信息保护法  中国人大网  https://www.npc.gov.cn/</w:t>
      </w:r>
    </w:p>
    <w:p>
      <w:pPr>
        <w:spacing w:before="0" w:after="80" w:line="317" w:lineRule="auto"/>
        <w:ind w:left="465" w:hanging="238"/>
      </w:pPr>
      <w:r>
        <w:rPr>
          <w:rFonts w:ascii="Aptos" w:hAnsi="Aptos" w:eastAsia="Microsoft YaHei"/>
          <w:color w:val="1F1F1F"/>
          <w:sz w:val="20"/>
        </w:rPr>
        <w:t>2. 中华人民共和国个人信息保护法  国家互联网信息办公室  https://www.cac.gov.cn/2021-08/20/c_1631050028355286.htm</w:t>
      </w:r>
    </w:p>
    <w:p>
      <w:pPr>
        <w:spacing w:before="0" w:after="80" w:line="317" w:lineRule="auto"/>
        <w:ind w:left="465" w:hanging="238"/>
      </w:pPr>
      <w:r>
        <w:rPr>
          <w:rFonts w:ascii="Aptos" w:hAnsi="Aptos" w:eastAsia="Microsoft YaHei"/>
          <w:color w:val="1F1F1F"/>
          <w:sz w:val="20"/>
        </w:rPr>
        <w:t>3. Regulation EU 2016 679  EUR Lex  https://eur-lex.europa.eu/eli/reg/2016/679/oj</w:t>
      </w:r>
    </w:p>
    <w:p>
      <w:pPr>
        <w:spacing w:before="0" w:after="80" w:line="317" w:lineRule="auto"/>
        <w:ind w:left="465" w:hanging="238"/>
      </w:pPr>
      <w:r>
        <w:rPr>
          <w:rFonts w:ascii="Aptos" w:hAnsi="Aptos" w:eastAsia="Microsoft YaHei"/>
          <w:color w:val="1F1F1F"/>
          <w:sz w:val="20"/>
        </w:rPr>
        <w:t>4. OWASP API Security Top 10 2023  https://api-security.owasp.org/editions/2023/en/0x00-header/</w:t>
      </w:r>
    </w:p>
    <w:p>
      <w:pPr>
        <w:spacing w:before="0" w:after="80" w:line="317" w:lineRule="auto"/>
        <w:ind w:left="465" w:hanging="238"/>
      </w:pPr>
      <w:r>
        <w:rPr>
          <w:rFonts w:ascii="Aptos" w:hAnsi="Aptos" w:eastAsia="Microsoft YaHei"/>
          <w:color w:val="1F1F1F"/>
          <w:sz w:val="20"/>
        </w:rPr>
        <w:t>5. MDN Document visibilitychange event  https://developer.mozilla.org/en-US/docs/Web/API/Document/visibilitychange_event</w:t>
      </w:r>
    </w:p>
    <w:p>
      <w:pPr>
        <w:spacing w:before="0" w:after="80" w:line="317" w:lineRule="auto"/>
        <w:ind w:left="465" w:hanging="238"/>
      </w:pPr>
      <w:r>
        <w:rPr>
          <w:rFonts w:ascii="Aptos" w:hAnsi="Aptos" w:eastAsia="Microsoft YaHei"/>
          <w:color w:val="1F1F1F"/>
          <w:sz w:val="20"/>
        </w:rPr>
        <w:t>6. MDN Navigator sendBeacon  https://developer.mozilla.org/en-US/docs/Web/API/Navigator/sendBeacon</w:t>
      </w:r>
    </w:p>
    <w:p>
      <w:pPr>
        <w:spacing w:before="0" w:after="80" w:line="317" w:lineRule="auto"/>
        <w:ind w:left="465" w:hanging="238"/>
      </w:pPr>
      <w:r>
        <w:rPr>
          <w:rFonts w:ascii="Aptos" w:hAnsi="Aptos" w:eastAsia="Microsoft YaHei"/>
          <w:color w:val="1F1F1F"/>
          <w:sz w:val="20"/>
        </w:rPr>
        <w:t>7. W3C Web Storage Second Edition  https://www.w3.org/TR/2021/SPSD-webstorage-20210128/</w:t>
      </w:r>
    </w:p>
    <w:p>
      <w:pPr>
        <w:spacing w:before="0" w:after="120" w:line="341" w:lineRule="auto"/>
        <w:ind w:firstLine="420"/>
      </w:pPr>
      <w:r>
        <w:rPr>
          <w:rFonts w:ascii="Aptos" w:hAnsi="Aptos" w:eastAsia="Microsoft YaHei"/>
          <w:color w:val="1F1F1F"/>
          <w:sz w:val="21"/>
        </w:rPr>
        <w:t>参考资料用于支持技术和治理设计。具体项目仍需根据部署地区、业务性质、客户合同及实际数据流完成专项法律和安全评审。</w:t>
      </w:r>
    </w:p>
    <w:sectPr w:rsidR="00FC693F" w:rsidRPr="0006063C" w:rsidSect="00034616">
      <w:footerReference w:type="default" r:id="rId9"/>
      <w:pgSz w:w="11906" w:h="16838"/>
      <w:pgMar w:top="1247" w:right="1332" w:bottom="1134" w:left="13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40" w:lineRule="auto"/>
      <w:jc w:val="center"/>
    </w:pPr>
    <w:r>
      <w:rPr>
        <w:rFonts w:ascii="Aptos" w:hAnsi="Aptos" w:eastAsia="Microsoft YaHei"/>
        <w:color w:val="595959"/>
        <w:sz w:val="16"/>
      </w:rPr>
      <w:t xml:space="preserve">客户行为数据采集平台方案实施报告  </w:t>
    </w:r>
    <w:r>
      <w:rPr>
        <w:rFonts w:ascii="Aptos" w:hAnsi="Aptos" w:eastAsia="Microsoft YaHei"/>
        <w:color w:val="595959"/>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eastAsia="Microsoft YaHei"/>
      <w:color w:val="1F1F1F"/>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00" w:after="160"/>
      <w:outlineLvl w:val="0"/>
    </w:pPr>
    <w:rPr>
      <w:rFonts w:asciiTheme="majorHAnsi" w:eastAsiaTheme="majorEastAsia" w:hAnsiTheme="majorHAnsi" w:cstheme="majorBidi" w:ascii="Aptos Display" w:hAnsi="Aptos Display"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ptos Display" w:hAnsi="Aptos Display" w:eastAsia="Microsoft YaHei"/>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ascii="Aptos Display" w:hAnsi="Aptos Display" w:eastAsia="Microsoft YaHei"/>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eastAsia="Microsoft YaHei"/>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ptos" w:hAnsi="Aptos" w:eastAsia="Microsoft YaHei"/>
      <w:color w:val="1F1F1F"/>
      <w:sz w:val="20"/>
    </w:rPr>
  </w:style>
  <w:style w:type="paragraph" w:styleId="ListBullet2">
    <w:name w:val="List Bullet 2"/>
    <w:basedOn w:val="Normal"/>
    <w:uiPriority w:val="99"/>
    <w:unhideWhenUsed/>
    <w:rsid w:val="00326F90"/>
    <w:pPr>
      <w:numPr>
        <w:numId w:val="2"/>
      </w:numPr>
      <w:contextualSpacing/>
    </w:pPr>
    <w:rPr>
      <w:rFonts w:ascii="Aptos" w:hAnsi="Aptos" w:eastAsia="Microsoft YaHei"/>
      <w:color w:val="1F1F1F"/>
      <w:sz w:val="2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Aptos" w:hAnsi="Aptos" w:eastAsia="Microsoft YaHei"/>
      <w:color w:val="1F1F1F"/>
      <w:sz w:val="20"/>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客户行为数据采集平台方案实施报告</dc:title>
  <dc:subject>独立后台与通用 JS SDK 实施方案</dc:subject>
  <dc:creator>项目团队</dc:creator>
  <cp:keywords>客户行为采集, JS SDK, 独立后台, 身份合并, 数据治理</cp:keywords>
  <dc:description>generated by python-docx</dc:description>
  <cp:lastModifiedBy/>
  <cp:revision>1</cp:revision>
  <dcterms:created xsi:type="dcterms:W3CDTF">2013-12-23T23:15:00Z</dcterms:created>
  <dcterms:modified xsi:type="dcterms:W3CDTF">2013-12-23T23:15:00Z</dcterms:modified>
  <cp:category/>
</cp:coreProperties>
</file>